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95E42" w14:textId="77777777" w:rsidR="000F5255" w:rsidRDefault="000F5255" w:rsidP="000F5255">
      <w:pPr>
        <w:spacing w:line="276" w:lineRule="auto"/>
        <w:ind w:left="-567" w:right="-1085"/>
        <w:jc w:val="both"/>
        <w:rPr>
          <w:rFonts w:ascii="Noto Sans" w:hAnsi="Noto Sans" w:cs="Noto Sans"/>
          <w:sz w:val="20"/>
          <w:szCs w:val="20"/>
          <w:lang w:val="es-MX"/>
        </w:rPr>
      </w:pPr>
    </w:p>
    <w:p w14:paraId="0BFC3E91" w14:textId="59B6CD28" w:rsidR="000F5255" w:rsidRPr="008E1C03" w:rsidRDefault="000F5255" w:rsidP="000F5255">
      <w:pPr>
        <w:spacing w:line="276" w:lineRule="auto"/>
        <w:ind w:left="-567" w:right="-1085"/>
        <w:jc w:val="both"/>
        <w:rPr>
          <w:rFonts w:ascii="Noto Sans" w:hAnsi="Noto Sans" w:cs="Noto Sans"/>
          <w:b/>
          <w:bCs/>
          <w:sz w:val="20"/>
          <w:szCs w:val="20"/>
          <w:lang w:val="es-MX"/>
        </w:rPr>
      </w:pPr>
      <w:r w:rsidRPr="00023D16">
        <w:rPr>
          <w:rFonts w:ascii="Noto Sans" w:hAnsi="Noto Sans" w:cs="Noto Sans"/>
          <w:b/>
          <w:bCs/>
          <w:sz w:val="20"/>
          <w:szCs w:val="20"/>
          <w:lang w:val="es-MX"/>
        </w:rPr>
        <w:t>a) Vige</w:t>
      </w:r>
      <w:r w:rsidRPr="008E1C03">
        <w:rPr>
          <w:rFonts w:ascii="Noto Sans" w:hAnsi="Noto Sans" w:cs="Noto Sans"/>
          <w:b/>
          <w:bCs/>
          <w:sz w:val="20"/>
          <w:szCs w:val="20"/>
          <w:lang w:val="es-MX"/>
        </w:rPr>
        <w:t>ncia de la contratación.</w:t>
      </w:r>
    </w:p>
    <w:p w14:paraId="66F8FE57"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79423C40" w14:textId="49A502C3"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La vigencia del servicio iniciará a partir del día natural siguiente a la notificación de la adjudicación y hasta el 31 de diciembre de </w:t>
      </w:r>
      <w:r w:rsidR="005608F1">
        <w:rPr>
          <w:rFonts w:ascii="Noto Sans" w:hAnsi="Noto Sans" w:cs="Noto Sans"/>
          <w:sz w:val="20"/>
          <w:szCs w:val="20"/>
          <w:lang w:val="es-MX"/>
        </w:rPr>
        <w:t>2026</w:t>
      </w:r>
      <w:r w:rsidRPr="008E1C03">
        <w:rPr>
          <w:rFonts w:ascii="Noto Sans" w:hAnsi="Noto Sans" w:cs="Noto Sans"/>
          <w:sz w:val="20"/>
          <w:szCs w:val="20"/>
          <w:lang w:val="es-MX"/>
        </w:rPr>
        <w:t>.</w:t>
      </w:r>
    </w:p>
    <w:p w14:paraId="7D0E4B9F"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28781404" w14:textId="77777777" w:rsidR="000F5255" w:rsidRPr="008E1C03" w:rsidRDefault="000F5255" w:rsidP="000F5255">
      <w:pPr>
        <w:spacing w:line="276" w:lineRule="auto"/>
        <w:ind w:left="-567" w:right="-1085"/>
        <w:jc w:val="both"/>
        <w:rPr>
          <w:rFonts w:ascii="Noto Sans" w:hAnsi="Noto Sans" w:cs="Noto Sans"/>
          <w:b/>
          <w:bCs/>
          <w:sz w:val="20"/>
          <w:szCs w:val="20"/>
          <w:lang w:val="es-MX"/>
        </w:rPr>
      </w:pPr>
      <w:r w:rsidRPr="00023D16">
        <w:rPr>
          <w:rFonts w:ascii="Noto Sans" w:hAnsi="Noto Sans" w:cs="Noto Sans"/>
          <w:b/>
          <w:bCs/>
          <w:sz w:val="20"/>
          <w:szCs w:val="20"/>
          <w:lang w:val="es-MX"/>
        </w:rPr>
        <w:t>b) Plazo y progr</w:t>
      </w:r>
      <w:r w:rsidRPr="008E1C03">
        <w:rPr>
          <w:rFonts w:ascii="Noto Sans" w:hAnsi="Noto Sans" w:cs="Noto Sans"/>
          <w:b/>
          <w:bCs/>
          <w:sz w:val="20"/>
          <w:szCs w:val="20"/>
          <w:lang w:val="es-MX"/>
        </w:rPr>
        <w:t>amas de entrega.</w:t>
      </w:r>
    </w:p>
    <w:p w14:paraId="21A49DAB"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43417626"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Plazo de Entrega</w:t>
      </w:r>
    </w:p>
    <w:p w14:paraId="415E5F27"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5C7542B8" w14:textId="597D73E4"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La prestación del servicio iniciará a partir del día natural siguiente a la notificación de la adjudicación y hasta el 31 de diciembre de </w:t>
      </w:r>
      <w:r w:rsidR="005608F1">
        <w:rPr>
          <w:rFonts w:ascii="Noto Sans" w:hAnsi="Noto Sans" w:cs="Noto Sans"/>
          <w:sz w:val="20"/>
          <w:szCs w:val="20"/>
          <w:lang w:val="es-MX"/>
        </w:rPr>
        <w:t>2026</w:t>
      </w:r>
      <w:r w:rsidRPr="008E1C03">
        <w:rPr>
          <w:rFonts w:ascii="Noto Sans" w:hAnsi="Noto Sans" w:cs="Noto Sans"/>
          <w:sz w:val="20"/>
          <w:szCs w:val="20"/>
          <w:lang w:val="es-MX"/>
        </w:rPr>
        <w:t>.</w:t>
      </w:r>
    </w:p>
    <w:p w14:paraId="198D67BC"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60D1576F"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El Proveedor, a fin de acreditar el cumplimiento de sus obligaciones contractuales, se obliga a entregar los documentos y testigos derivados de la orden de transmisión para su revisión dentro de los cinco días hábiles posteriores al vencimiento de dicha orden, así mismo, deberá dar cumplimiento al plazo de cinco días hábiles para el ingreso de documentos a trámite de pago de acuerdo con lo establecido en el </w:t>
      </w:r>
      <w:r w:rsidRPr="008E1C03">
        <w:rPr>
          <w:rFonts w:ascii="Noto Sans" w:hAnsi="Noto Sans" w:cs="Noto Sans"/>
          <w:i/>
          <w:iCs/>
          <w:sz w:val="20"/>
          <w:szCs w:val="20"/>
          <w:lang w:val="es-MX"/>
        </w:rPr>
        <w:t xml:space="preserve">inciso K (forma de pago) </w:t>
      </w:r>
      <w:r w:rsidRPr="008E1C03">
        <w:rPr>
          <w:rFonts w:ascii="Noto Sans" w:hAnsi="Noto Sans" w:cs="Noto Sans"/>
          <w:sz w:val="20"/>
          <w:szCs w:val="20"/>
          <w:lang w:val="es-MX"/>
        </w:rPr>
        <w:t>de este documento de términos y condiciones.</w:t>
      </w:r>
    </w:p>
    <w:p w14:paraId="5A1429BF"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529257DB"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transmisión con la temporalidad que ésta determine, a fin de verificar el avance del cumplimiento de </w:t>
      </w:r>
      <w:proofErr w:type="gramStart"/>
      <w:r w:rsidRPr="008E1C03">
        <w:rPr>
          <w:rFonts w:ascii="Noto Sans" w:hAnsi="Noto Sans" w:cs="Noto Sans"/>
          <w:sz w:val="20"/>
          <w:szCs w:val="20"/>
          <w:lang w:val="es-MX"/>
        </w:rPr>
        <w:t>la misma</w:t>
      </w:r>
      <w:proofErr w:type="gramEnd"/>
      <w:r w:rsidRPr="008E1C03">
        <w:rPr>
          <w:rFonts w:ascii="Noto Sans" w:hAnsi="Noto Sans" w:cs="Noto Sans"/>
          <w:sz w:val="20"/>
          <w:szCs w:val="20"/>
          <w:lang w:val="es-MX"/>
        </w:rPr>
        <w:t>.</w:t>
      </w:r>
    </w:p>
    <w:p w14:paraId="534153BC"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0C3631B6" w14:textId="28B41D32"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w:t>
      </w:r>
      <w:r w:rsidR="005608F1">
        <w:rPr>
          <w:rFonts w:ascii="Noto Sans" w:hAnsi="Noto Sans" w:cs="Noto Sans"/>
          <w:sz w:val="20"/>
          <w:szCs w:val="20"/>
          <w:lang w:val="es-MX"/>
        </w:rPr>
        <w:t>2026</w:t>
      </w:r>
      <w:r w:rsidRPr="008E1C03">
        <w:rPr>
          <w:rFonts w:ascii="Noto Sans" w:hAnsi="Noto Sans" w:cs="Noto Sans"/>
          <w:sz w:val="20"/>
          <w:szCs w:val="20"/>
          <w:lang w:val="es-MX"/>
        </w:rPr>
        <w:t>, A TRAVÉS DE MEDIOS DE COMUNICACIÓN ELECTRÓNICOS (RADIO).</w:t>
      </w:r>
    </w:p>
    <w:p w14:paraId="161DC180"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0E950FB0"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Programas de Entrega</w:t>
      </w:r>
    </w:p>
    <w:p w14:paraId="078791A8"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76EB8EC7" w14:textId="034FCED9" w:rsidR="000F5255" w:rsidRPr="008E1C03" w:rsidRDefault="000F5255" w:rsidP="000F5255">
      <w:pPr>
        <w:spacing w:line="276" w:lineRule="auto"/>
        <w:ind w:left="-567" w:right="-1085"/>
        <w:jc w:val="both"/>
        <w:rPr>
          <w:rFonts w:ascii="Noto Sans" w:hAnsi="Noto Sans" w:cs="Noto Sans"/>
          <w:sz w:val="20"/>
          <w:szCs w:val="20"/>
          <w:lang w:val="es-MX"/>
        </w:rPr>
      </w:pPr>
      <w:proofErr w:type="gramStart"/>
      <w:r w:rsidRPr="008E1C03">
        <w:rPr>
          <w:rFonts w:ascii="Noto Sans" w:hAnsi="Noto Sans" w:cs="Noto Sans"/>
          <w:sz w:val="20"/>
          <w:szCs w:val="20"/>
          <w:lang w:val="es-MX"/>
        </w:rPr>
        <w:t>Las entregas y el número de mensajes a difundir</w:t>
      </w:r>
      <w:proofErr w:type="gramEnd"/>
      <w:r w:rsidRPr="008E1C03">
        <w:rPr>
          <w:rFonts w:ascii="Noto Sans" w:hAnsi="Noto Sans" w:cs="Noto Sans"/>
          <w:sz w:val="20"/>
          <w:szCs w:val="20"/>
          <w:lang w:val="es-MX"/>
        </w:rPr>
        <w:t xml:space="preserve"> por cada medio se determinan en las órdenes de transmisión que al efecto emita la Coordinación Técnica de Difusión a través del administrador del contrato, conforme se detallan en el ANEXO TÉCNICO PARA LA PRESTACIÓN DEL SERVICIO DE DIFUSIÓN DE LAS CAMPAÑAS INSTITUCIONALES </w:t>
      </w:r>
      <w:r w:rsidR="005608F1">
        <w:rPr>
          <w:rFonts w:ascii="Noto Sans" w:hAnsi="Noto Sans" w:cs="Noto Sans"/>
          <w:sz w:val="20"/>
          <w:szCs w:val="20"/>
          <w:lang w:val="es-MX"/>
        </w:rPr>
        <w:t>2026</w:t>
      </w:r>
      <w:r w:rsidRPr="008E1C03">
        <w:rPr>
          <w:rFonts w:ascii="Noto Sans" w:hAnsi="Noto Sans" w:cs="Noto Sans"/>
          <w:sz w:val="20"/>
          <w:szCs w:val="20"/>
          <w:lang w:val="es-MX"/>
        </w:rPr>
        <w:t>, A TRAVÉS DE MEDIOS DE COMUNICACIÓN ELECTRÓNICOS (RADIO).</w:t>
      </w:r>
    </w:p>
    <w:p w14:paraId="218EC276" w14:textId="77777777" w:rsidR="000F5255" w:rsidRDefault="000F5255" w:rsidP="000F5255">
      <w:pPr>
        <w:spacing w:line="276" w:lineRule="auto"/>
        <w:ind w:left="-567" w:right="-1085"/>
        <w:jc w:val="both"/>
        <w:rPr>
          <w:rFonts w:ascii="Noto Sans" w:hAnsi="Noto Sans" w:cs="Noto Sans"/>
          <w:sz w:val="20"/>
          <w:szCs w:val="20"/>
          <w:lang w:val="es-MX"/>
        </w:rPr>
      </w:pPr>
    </w:p>
    <w:p w14:paraId="6A48B8A8" w14:textId="77777777" w:rsidR="000F5255" w:rsidRDefault="000F5255" w:rsidP="000F5255">
      <w:pPr>
        <w:spacing w:line="276" w:lineRule="auto"/>
        <w:ind w:left="-567" w:right="-1085"/>
        <w:jc w:val="both"/>
        <w:rPr>
          <w:rFonts w:ascii="Noto Sans" w:hAnsi="Noto Sans" w:cs="Noto Sans"/>
          <w:sz w:val="20"/>
          <w:szCs w:val="20"/>
          <w:lang w:val="es-MX"/>
        </w:rPr>
      </w:pPr>
    </w:p>
    <w:p w14:paraId="09FDA9BA" w14:textId="77777777" w:rsidR="000F5255" w:rsidRDefault="000F5255" w:rsidP="000F5255">
      <w:pPr>
        <w:spacing w:line="276" w:lineRule="auto"/>
        <w:ind w:left="-567" w:right="-1085"/>
        <w:jc w:val="both"/>
        <w:rPr>
          <w:rFonts w:ascii="Noto Sans" w:hAnsi="Noto Sans" w:cs="Noto Sans"/>
          <w:sz w:val="20"/>
          <w:szCs w:val="20"/>
          <w:lang w:val="es-MX"/>
        </w:rPr>
      </w:pPr>
    </w:p>
    <w:p w14:paraId="7CC6DAFE" w14:textId="679D5DFC"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La periodicidad de difusión de los mensajes se detalla igualmente en las órdenes de transmisión, a que se hacen referencia en el ANEXO TÉCNICO PARA LA PRESTACIÓN DEL SERVICIO DE DIFUSIÓN DE LAS CAMPAÑAS INSTITUCIONALES </w:t>
      </w:r>
      <w:r w:rsidR="005608F1">
        <w:rPr>
          <w:rFonts w:ascii="Noto Sans" w:hAnsi="Noto Sans" w:cs="Noto Sans"/>
          <w:sz w:val="20"/>
          <w:szCs w:val="20"/>
          <w:lang w:val="es-MX"/>
        </w:rPr>
        <w:t>2026</w:t>
      </w:r>
      <w:r w:rsidRPr="008E1C03">
        <w:rPr>
          <w:rFonts w:ascii="Noto Sans" w:hAnsi="Noto Sans" w:cs="Noto Sans"/>
          <w:sz w:val="20"/>
          <w:szCs w:val="20"/>
          <w:lang w:val="es-MX"/>
        </w:rPr>
        <w:t>, A TRAVÉS DE MEDIOS DE COMUNICACIÓN ELECTRÓNICOS (RADIO).</w:t>
      </w:r>
    </w:p>
    <w:p w14:paraId="73CC2FF7"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4BD08903" w14:textId="77777777" w:rsidR="003C2129" w:rsidRPr="00341E55" w:rsidRDefault="003C2129" w:rsidP="00023D16">
      <w:pPr>
        <w:spacing w:line="276" w:lineRule="auto"/>
        <w:ind w:left="3" w:right="-1085" w:hanging="570"/>
        <w:jc w:val="both"/>
        <w:rPr>
          <w:rFonts w:ascii="Noto Sans" w:hAnsi="Noto Sans" w:cs="Noto Sans"/>
          <w:sz w:val="21"/>
          <w:szCs w:val="21"/>
          <w:lang w:val="es-MX"/>
        </w:rPr>
      </w:pPr>
      <w:bookmarkStart w:id="0" w:name="_Hlk196325250"/>
      <w:r w:rsidRPr="00341E55">
        <w:rPr>
          <w:rFonts w:ascii="Noto Sans" w:hAnsi="Noto Sans" w:cs="Noto Sans"/>
          <w:b/>
          <w:bCs/>
          <w:sz w:val="21"/>
          <w:szCs w:val="21"/>
          <w:lang w:val="es-MX"/>
        </w:rPr>
        <w:t xml:space="preserve">c) </w:t>
      </w:r>
      <w:r w:rsidRPr="00341E55">
        <w:rPr>
          <w:rFonts w:ascii="Noto Sans" w:hAnsi="Noto Sans" w:cs="Noto Sans"/>
          <w:b/>
          <w:bCs/>
          <w:sz w:val="21"/>
          <w:szCs w:val="21"/>
          <w:lang w:val="es-MX"/>
        </w:rPr>
        <w:tab/>
        <w:t>Mecanismo de evaluación de proposiciones.</w:t>
      </w:r>
      <w:r w:rsidRPr="00341E55">
        <w:rPr>
          <w:rFonts w:ascii="Noto Sans" w:hAnsi="Noto Sans" w:cs="Noto Sans"/>
          <w:sz w:val="21"/>
          <w:szCs w:val="21"/>
          <w:lang w:val="es-MX"/>
        </w:rPr>
        <w:t xml:space="preserve"> Criterio </w:t>
      </w:r>
      <w:r w:rsidRPr="00D55B75">
        <w:rPr>
          <w:rFonts w:ascii="Noto Sans" w:hAnsi="Noto Sans" w:cs="Noto Sans"/>
          <w:sz w:val="21"/>
          <w:szCs w:val="21"/>
          <w:lang w:val="es-MX"/>
        </w:rPr>
        <w:t>binario,</w:t>
      </w:r>
      <w:r w:rsidRPr="00341E55">
        <w:rPr>
          <w:rFonts w:ascii="Noto Sans" w:hAnsi="Noto Sans" w:cs="Noto Sans"/>
          <w:sz w:val="21"/>
          <w:szCs w:val="21"/>
          <w:lang w:val="es-MX"/>
        </w:rPr>
        <w:t xml:space="preserve"> con fundamento en </w:t>
      </w:r>
      <w:r w:rsidRPr="00FD4607">
        <w:rPr>
          <w:rFonts w:ascii="Noto Sans" w:hAnsi="Noto Sans" w:cs="Noto Sans"/>
          <w:sz w:val="21"/>
          <w:szCs w:val="21"/>
          <w:lang w:val="es-MX"/>
        </w:rPr>
        <w:t>el artículo 47 segundo párrafo de la LAASSP.</w:t>
      </w:r>
    </w:p>
    <w:p w14:paraId="1A252723" w14:textId="77777777" w:rsidR="003C2129" w:rsidRPr="00341E55" w:rsidRDefault="003C2129" w:rsidP="003C2129">
      <w:pPr>
        <w:spacing w:line="276" w:lineRule="auto"/>
        <w:ind w:left="-567" w:right="-1085"/>
        <w:jc w:val="both"/>
        <w:rPr>
          <w:rFonts w:ascii="Noto Sans" w:hAnsi="Noto Sans" w:cs="Noto Sans"/>
          <w:sz w:val="21"/>
          <w:szCs w:val="21"/>
          <w:lang w:val="es-MX"/>
        </w:rPr>
      </w:pPr>
    </w:p>
    <w:p w14:paraId="1E5B2489" w14:textId="6C8AA40C" w:rsidR="003C2129" w:rsidRPr="00341E55" w:rsidRDefault="003C2129" w:rsidP="00023D16">
      <w:pPr>
        <w:spacing w:line="276" w:lineRule="auto"/>
        <w:ind w:left="3" w:right="-1085" w:hanging="570"/>
        <w:jc w:val="both"/>
        <w:rPr>
          <w:rFonts w:ascii="Noto Sans" w:hAnsi="Noto Sans" w:cs="Noto Sans"/>
          <w:b/>
          <w:bCs/>
          <w:sz w:val="21"/>
          <w:szCs w:val="21"/>
          <w:lang w:val="es-MX"/>
        </w:rPr>
      </w:pPr>
      <w:r w:rsidRPr="00341E55">
        <w:rPr>
          <w:rFonts w:ascii="Noto Sans" w:hAnsi="Noto Sans" w:cs="Noto Sans"/>
          <w:b/>
          <w:bCs/>
          <w:sz w:val="21"/>
          <w:szCs w:val="21"/>
          <w:lang w:val="es-MX"/>
        </w:rPr>
        <w:t xml:space="preserve">d) </w:t>
      </w:r>
      <w:r w:rsidRPr="00341E55">
        <w:rPr>
          <w:rFonts w:ascii="Noto Sans" w:hAnsi="Noto Sans" w:cs="Noto Sans"/>
          <w:b/>
          <w:bCs/>
          <w:sz w:val="21"/>
          <w:szCs w:val="21"/>
          <w:lang w:val="es-MX"/>
        </w:rPr>
        <w:tab/>
        <w:t xml:space="preserve">Licencias, permisos, registros, certificados o autorizaciones. </w:t>
      </w:r>
      <w:r w:rsidRPr="00341E55">
        <w:rPr>
          <w:rFonts w:ascii="Noto Sans" w:hAnsi="Noto Sans" w:cs="Noto Sans"/>
          <w:sz w:val="21"/>
          <w:szCs w:val="21"/>
          <w:lang w:val="es-MX"/>
        </w:rPr>
        <w:t xml:space="preserve">- El proveedor deberá adjuntar los documentos con los que acredite la titularidad o el licenciamiento exclusivo de los espacios publicitarios de los medios de comunicación que se utilizarán para la prestación del servicio de difusión de las campañas institucionales </w:t>
      </w:r>
      <w:r w:rsidR="005608F1">
        <w:rPr>
          <w:rFonts w:ascii="Noto Sans" w:hAnsi="Noto Sans" w:cs="Noto Sans"/>
          <w:sz w:val="21"/>
          <w:szCs w:val="21"/>
          <w:lang w:val="es-MX"/>
        </w:rPr>
        <w:t>2026</w:t>
      </w:r>
      <w:r w:rsidRPr="00341E55">
        <w:rPr>
          <w:rFonts w:ascii="Noto Sans" w:hAnsi="Noto Sans" w:cs="Noto Sans"/>
          <w:sz w:val="21"/>
          <w:szCs w:val="21"/>
          <w:lang w:val="es-MX"/>
        </w:rPr>
        <w:t>.</w:t>
      </w:r>
    </w:p>
    <w:p w14:paraId="299565CD" w14:textId="77777777" w:rsidR="003C2129" w:rsidRPr="00D32AC0" w:rsidRDefault="003C2129" w:rsidP="003C2129">
      <w:pPr>
        <w:spacing w:line="276" w:lineRule="auto"/>
        <w:ind w:left="-567" w:right="-1085"/>
        <w:jc w:val="both"/>
        <w:rPr>
          <w:rFonts w:ascii="Noto Sans" w:hAnsi="Noto Sans" w:cs="Noto Sans"/>
          <w:b/>
          <w:bCs/>
          <w:sz w:val="21"/>
          <w:szCs w:val="21"/>
          <w:lang w:val="es-MX"/>
        </w:rPr>
      </w:pPr>
    </w:p>
    <w:p w14:paraId="636F2EA1" w14:textId="03FE324E" w:rsidR="003C2129" w:rsidRPr="00D32AC0" w:rsidRDefault="003C2129" w:rsidP="00023D16">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e) </w:t>
      </w:r>
      <w:r w:rsidR="00023D16">
        <w:rPr>
          <w:rFonts w:ascii="Noto Sans" w:hAnsi="Noto Sans" w:cs="Noto Sans"/>
          <w:b/>
          <w:bCs/>
          <w:sz w:val="21"/>
          <w:szCs w:val="21"/>
          <w:lang w:val="es-MX"/>
        </w:rPr>
        <w:tab/>
      </w:r>
      <w:r w:rsidRPr="00D32AC0">
        <w:rPr>
          <w:rFonts w:ascii="Noto Sans" w:hAnsi="Noto Sans" w:cs="Noto Sans"/>
          <w:b/>
          <w:bCs/>
          <w:sz w:val="21"/>
          <w:szCs w:val="21"/>
          <w:lang w:val="es-MX"/>
        </w:rPr>
        <w:t xml:space="preserve">Documentación técnica necesaria como pueden ser: folletos, catálogos, fotografías, manuales entre otros, en caso de que se requieran para comprobar sus especificaciones. </w:t>
      </w:r>
      <w:r w:rsidRPr="00341E55">
        <w:rPr>
          <w:rFonts w:ascii="Noto Sans" w:hAnsi="Noto Sans" w:cs="Noto Sans"/>
          <w:sz w:val="21"/>
          <w:szCs w:val="21"/>
          <w:lang w:val="es-MX"/>
        </w:rPr>
        <w:t>No aplica.</w:t>
      </w:r>
    </w:p>
    <w:p w14:paraId="3B5CC96E" w14:textId="77777777" w:rsidR="003C2129" w:rsidRPr="00D32AC0" w:rsidRDefault="003C2129" w:rsidP="003C2129">
      <w:pPr>
        <w:spacing w:line="276" w:lineRule="auto"/>
        <w:ind w:left="-567" w:right="-1085"/>
        <w:jc w:val="both"/>
        <w:rPr>
          <w:rFonts w:ascii="Noto Sans" w:hAnsi="Noto Sans" w:cs="Noto Sans"/>
          <w:b/>
          <w:bCs/>
          <w:sz w:val="21"/>
          <w:szCs w:val="21"/>
          <w:lang w:val="es-MX"/>
        </w:rPr>
      </w:pPr>
    </w:p>
    <w:p w14:paraId="71A84CDC" w14:textId="49DC8725" w:rsidR="003C2129" w:rsidRPr="00D32AC0" w:rsidRDefault="003C2129" w:rsidP="00023D16">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f) </w:t>
      </w:r>
      <w:r w:rsidR="00023D16">
        <w:rPr>
          <w:rFonts w:ascii="Noto Sans" w:hAnsi="Noto Sans" w:cs="Noto Sans"/>
          <w:b/>
          <w:bCs/>
          <w:sz w:val="21"/>
          <w:szCs w:val="21"/>
          <w:lang w:val="es-MX"/>
        </w:rPr>
        <w:tab/>
      </w:r>
      <w:r w:rsidRPr="00D32AC0">
        <w:rPr>
          <w:rFonts w:ascii="Noto Sans" w:hAnsi="Noto Sans" w:cs="Noto Sans"/>
          <w:b/>
          <w:bCs/>
          <w:sz w:val="21"/>
          <w:szCs w:val="21"/>
          <w:lang w:val="es-MX"/>
        </w:rPr>
        <w:t xml:space="preserve">Visitas a las instalaciones institucionales, donde se suministrarán o colocarán los bienes o donde se prestarán los servicios, en su caso. </w:t>
      </w:r>
      <w:r w:rsidRPr="00341E55">
        <w:rPr>
          <w:rFonts w:ascii="Noto Sans" w:hAnsi="Noto Sans" w:cs="Noto Sans"/>
          <w:sz w:val="21"/>
          <w:szCs w:val="21"/>
          <w:lang w:val="es-MX"/>
        </w:rPr>
        <w:t>No aplica.</w:t>
      </w:r>
    </w:p>
    <w:p w14:paraId="60999433" w14:textId="77777777" w:rsidR="003C2129" w:rsidRPr="00D32AC0" w:rsidRDefault="003C2129" w:rsidP="003C2129">
      <w:pPr>
        <w:spacing w:line="276" w:lineRule="auto"/>
        <w:ind w:left="-567" w:right="-1085"/>
        <w:jc w:val="both"/>
        <w:rPr>
          <w:rFonts w:ascii="Noto Sans" w:hAnsi="Noto Sans" w:cs="Noto Sans"/>
          <w:b/>
          <w:bCs/>
          <w:sz w:val="21"/>
          <w:szCs w:val="21"/>
          <w:lang w:val="es-MX"/>
        </w:rPr>
      </w:pPr>
    </w:p>
    <w:p w14:paraId="7ED7412A" w14:textId="2C3961BF" w:rsidR="003C2129" w:rsidRPr="00D32AC0" w:rsidRDefault="003C2129" w:rsidP="00023D16">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g) </w:t>
      </w:r>
      <w:r w:rsidR="00023D16">
        <w:rPr>
          <w:rFonts w:ascii="Noto Sans" w:hAnsi="Noto Sans" w:cs="Noto Sans"/>
          <w:b/>
          <w:bCs/>
          <w:sz w:val="21"/>
          <w:szCs w:val="21"/>
          <w:lang w:val="es-MX"/>
        </w:rPr>
        <w:tab/>
      </w:r>
      <w:r w:rsidRPr="00D32AC0">
        <w:rPr>
          <w:rFonts w:ascii="Noto Sans" w:hAnsi="Noto Sans" w:cs="Noto Sans"/>
          <w:b/>
          <w:bCs/>
          <w:sz w:val="21"/>
          <w:szCs w:val="21"/>
          <w:lang w:val="es-MX"/>
        </w:rPr>
        <w:t xml:space="preserve">Si se requiere efectuar visitas a las instalaciones de los licitantes. Se deberá precisar puntualmente, el objeto y el resultado que se espera obtener de la misma, a efecto de que se plasme en la convocatoria. </w:t>
      </w:r>
      <w:r w:rsidRPr="00341E55">
        <w:rPr>
          <w:rFonts w:ascii="Noto Sans" w:hAnsi="Noto Sans" w:cs="Noto Sans"/>
          <w:sz w:val="21"/>
          <w:szCs w:val="21"/>
          <w:lang w:val="es-MX"/>
        </w:rPr>
        <w:t>No aplica.</w:t>
      </w:r>
    </w:p>
    <w:p w14:paraId="22EBE3E4" w14:textId="77777777" w:rsidR="003C2129" w:rsidRPr="00D32AC0" w:rsidRDefault="003C2129" w:rsidP="003C2129">
      <w:pPr>
        <w:spacing w:line="276" w:lineRule="auto"/>
        <w:ind w:left="-567" w:right="-1085"/>
        <w:jc w:val="both"/>
        <w:rPr>
          <w:rFonts w:ascii="Noto Sans" w:hAnsi="Noto Sans" w:cs="Noto Sans"/>
          <w:b/>
          <w:bCs/>
          <w:sz w:val="21"/>
          <w:szCs w:val="21"/>
          <w:lang w:val="es-MX"/>
        </w:rPr>
      </w:pPr>
    </w:p>
    <w:p w14:paraId="4E927094" w14:textId="3067A4EB" w:rsidR="003C2129" w:rsidRPr="00D32AC0" w:rsidRDefault="003C2129" w:rsidP="00023D16">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h)</w:t>
      </w:r>
      <w:r w:rsidR="00023D16">
        <w:rPr>
          <w:rFonts w:ascii="Noto Sans" w:hAnsi="Noto Sans" w:cs="Noto Sans"/>
          <w:b/>
          <w:bCs/>
          <w:sz w:val="21"/>
          <w:szCs w:val="21"/>
          <w:lang w:val="es-MX"/>
        </w:rPr>
        <w:tab/>
      </w:r>
      <w:r w:rsidRPr="00D32AC0">
        <w:rPr>
          <w:rFonts w:ascii="Noto Sans" w:hAnsi="Noto Sans" w:cs="Noto Sans"/>
          <w:b/>
          <w:bCs/>
          <w:sz w:val="21"/>
          <w:szCs w:val="21"/>
          <w:lang w:val="es-MX"/>
        </w:rPr>
        <w:t xml:space="preserve"> Las penas convencionales y deducciones al pago de conformidad con lo dispuesto en el lineamiento 5.5.8 de las presentes POBALINES. </w:t>
      </w:r>
    </w:p>
    <w:p w14:paraId="62F5B3EE" w14:textId="77777777" w:rsidR="003C2129" w:rsidRPr="00D32AC0" w:rsidRDefault="003C2129" w:rsidP="003C2129">
      <w:pPr>
        <w:spacing w:line="276" w:lineRule="auto"/>
        <w:ind w:left="-567" w:right="-1085"/>
        <w:jc w:val="both"/>
        <w:rPr>
          <w:rFonts w:ascii="Noto Sans" w:hAnsi="Noto Sans" w:cs="Noto Sans"/>
          <w:b/>
          <w:bCs/>
          <w:sz w:val="21"/>
          <w:szCs w:val="21"/>
          <w:lang w:val="es-MX"/>
        </w:rPr>
      </w:pPr>
    </w:p>
    <w:p w14:paraId="0704AD52" w14:textId="77777777" w:rsidR="003C2129" w:rsidRPr="00FD4607" w:rsidRDefault="003C2129" w:rsidP="003C2129">
      <w:pPr>
        <w:spacing w:line="276" w:lineRule="auto"/>
        <w:ind w:left="-567" w:right="-1085"/>
        <w:jc w:val="both"/>
        <w:rPr>
          <w:rFonts w:ascii="Noto Sans" w:hAnsi="Noto Sans" w:cs="Noto Sans"/>
          <w:b/>
          <w:bCs/>
          <w:sz w:val="21"/>
          <w:szCs w:val="21"/>
          <w:lang w:val="es-MX"/>
        </w:rPr>
      </w:pPr>
      <w:r w:rsidRPr="00FD4607">
        <w:rPr>
          <w:rFonts w:ascii="Noto Sans" w:hAnsi="Noto Sans" w:cs="Noto Sans"/>
          <w:b/>
          <w:bCs/>
          <w:sz w:val="21"/>
          <w:szCs w:val="21"/>
          <w:lang w:val="es-MX"/>
        </w:rPr>
        <w:t>h.1) Penas Convencionales </w:t>
      </w:r>
    </w:p>
    <w:bookmarkEnd w:id="0"/>
    <w:p w14:paraId="7794B230" w14:textId="77777777" w:rsidR="000F5255" w:rsidRPr="00FD4607" w:rsidRDefault="000F5255" w:rsidP="000F5255">
      <w:pPr>
        <w:spacing w:line="276" w:lineRule="auto"/>
        <w:ind w:left="-567" w:right="-1085"/>
        <w:jc w:val="both"/>
        <w:rPr>
          <w:rFonts w:ascii="Noto Sans" w:hAnsi="Noto Sans" w:cs="Noto Sans"/>
          <w:sz w:val="20"/>
          <w:szCs w:val="20"/>
          <w:lang w:val="es-MX"/>
        </w:rPr>
      </w:pPr>
    </w:p>
    <w:p w14:paraId="1E84CC82" w14:textId="77777777" w:rsidR="000F5255" w:rsidRPr="00FD4607" w:rsidRDefault="000F5255" w:rsidP="000F5255">
      <w:pPr>
        <w:spacing w:line="276" w:lineRule="auto"/>
        <w:ind w:left="-567" w:right="-1085"/>
        <w:jc w:val="both"/>
        <w:rPr>
          <w:rFonts w:ascii="Noto Sans" w:hAnsi="Noto Sans" w:cs="Noto Sans"/>
          <w:sz w:val="20"/>
          <w:szCs w:val="20"/>
          <w:lang w:val="es-MX"/>
        </w:rPr>
      </w:pPr>
      <w:r w:rsidRPr="00FD4607">
        <w:rPr>
          <w:rFonts w:ascii="Noto Sans" w:hAnsi="Noto Sans" w:cs="Noto Sans"/>
          <w:sz w:val="20"/>
          <w:szCs w:val="20"/>
          <w:lang w:val="es-MX"/>
        </w:rPr>
        <w:t xml:space="preserve">El administrador de los </w:t>
      </w:r>
      <w:proofErr w:type="gramStart"/>
      <w:r w:rsidRPr="00FD4607">
        <w:rPr>
          <w:rFonts w:ascii="Noto Sans" w:hAnsi="Noto Sans" w:cs="Noto Sans"/>
          <w:sz w:val="20"/>
          <w:szCs w:val="20"/>
          <w:lang w:val="es-MX"/>
        </w:rPr>
        <w:t>contratos,</w:t>
      </w:r>
      <w:proofErr w:type="gramEnd"/>
      <w:r w:rsidRPr="00FD4607">
        <w:rPr>
          <w:rFonts w:ascii="Noto Sans" w:hAnsi="Noto Sans" w:cs="Noto Sans"/>
          <w:sz w:val="20"/>
          <w:szCs w:val="20"/>
          <w:lang w:val="es-MX"/>
        </w:rPr>
        <w:t xml:space="preserve"> será el responsable de calcular las penas convencionales señaladas en el numeral 5.5.8 y demás correlativos de las Políticas, Bases y Lineamientos en materia de Adquisiciones, Arrendamientos y Servicios del Instituto Mexicano del Seguro Social, en caso de atraso en la entrega de testigos. El monto de la pena ascenderá al 2.5% del monto de lo incumplido.</w:t>
      </w:r>
    </w:p>
    <w:p w14:paraId="67A64E72" w14:textId="77777777" w:rsidR="000F5255" w:rsidRDefault="000F5255" w:rsidP="000F5255">
      <w:pPr>
        <w:spacing w:line="276" w:lineRule="auto"/>
        <w:ind w:left="-567" w:right="-1085"/>
        <w:jc w:val="both"/>
        <w:rPr>
          <w:rFonts w:ascii="Noto Sans" w:hAnsi="Noto Sans" w:cs="Noto Sans"/>
          <w:sz w:val="20"/>
          <w:szCs w:val="20"/>
          <w:lang w:val="es-MX"/>
        </w:rPr>
      </w:pPr>
    </w:p>
    <w:p w14:paraId="61549730" w14:textId="77777777" w:rsidR="003C2129" w:rsidRDefault="003C2129" w:rsidP="000F5255">
      <w:pPr>
        <w:spacing w:line="276" w:lineRule="auto"/>
        <w:ind w:left="-567" w:right="-1085"/>
        <w:jc w:val="both"/>
        <w:rPr>
          <w:rFonts w:ascii="Noto Sans" w:hAnsi="Noto Sans" w:cs="Noto Sans"/>
          <w:sz w:val="20"/>
          <w:szCs w:val="20"/>
          <w:lang w:val="es-MX"/>
        </w:rPr>
      </w:pPr>
    </w:p>
    <w:p w14:paraId="72DD581E" w14:textId="77777777" w:rsidR="00D55B75" w:rsidRDefault="00D55B75" w:rsidP="000F5255">
      <w:pPr>
        <w:spacing w:line="276" w:lineRule="auto"/>
        <w:ind w:left="-567" w:right="-1085"/>
        <w:jc w:val="both"/>
        <w:rPr>
          <w:rFonts w:ascii="Noto Sans" w:hAnsi="Noto Sans" w:cs="Noto Sans"/>
          <w:sz w:val="20"/>
          <w:szCs w:val="20"/>
          <w:lang w:val="es-MX"/>
        </w:rPr>
      </w:pPr>
    </w:p>
    <w:p w14:paraId="4BB74A3A" w14:textId="77777777" w:rsidR="00D55B75" w:rsidRDefault="00D55B75" w:rsidP="000F5255">
      <w:pPr>
        <w:spacing w:line="276" w:lineRule="auto"/>
        <w:ind w:left="-567" w:right="-1085"/>
        <w:jc w:val="both"/>
        <w:rPr>
          <w:rFonts w:ascii="Noto Sans" w:hAnsi="Noto Sans" w:cs="Noto Sans"/>
          <w:sz w:val="20"/>
          <w:szCs w:val="20"/>
          <w:lang w:val="es-MX"/>
        </w:rPr>
      </w:pPr>
    </w:p>
    <w:p w14:paraId="5441F966" w14:textId="77777777" w:rsidR="003C2129" w:rsidRDefault="003C2129" w:rsidP="000F5255">
      <w:pPr>
        <w:spacing w:line="276" w:lineRule="auto"/>
        <w:ind w:left="-567" w:right="-1085"/>
        <w:jc w:val="both"/>
        <w:rPr>
          <w:rFonts w:ascii="Noto Sans" w:hAnsi="Noto Sans" w:cs="Noto Sans"/>
          <w:sz w:val="20"/>
          <w:szCs w:val="20"/>
          <w:lang w:val="es-MX"/>
        </w:rPr>
      </w:pPr>
    </w:p>
    <w:p w14:paraId="46261194" w14:textId="77777777" w:rsidR="003C2129" w:rsidRPr="00F30650" w:rsidRDefault="003C2129" w:rsidP="000F5255">
      <w:pPr>
        <w:spacing w:line="276" w:lineRule="auto"/>
        <w:ind w:left="-567" w:right="-1085"/>
        <w:jc w:val="both"/>
        <w:rPr>
          <w:rFonts w:ascii="Noto Sans" w:hAnsi="Noto Sans" w:cs="Noto Sans"/>
          <w:sz w:val="20"/>
          <w:szCs w:val="20"/>
          <w:lang w:val="es-MX"/>
        </w:rPr>
      </w:pPr>
    </w:p>
    <w:p w14:paraId="721C6698" w14:textId="77777777" w:rsidR="000F5255" w:rsidRPr="00F30650" w:rsidRDefault="000F5255" w:rsidP="000F5255">
      <w:pPr>
        <w:spacing w:line="276" w:lineRule="auto"/>
        <w:ind w:left="-567" w:right="-1085"/>
        <w:jc w:val="both"/>
        <w:rPr>
          <w:rFonts w:ascii="Noto Sans" w:hAnsi="Noto Sans" w:cs="Noto Sans"/>
          <w:b/>
          <w:bCs/>
          <w:sz w:val="20"/>
          <w:szCs w:val="20"/>
          <w:lang w:val="es-MX"/>
        </w:rPr>
      </w:pPr>
    </w:p>
    <w:tbl>
      <w:tblPr>
        <w:tblStyle w:val="Tablaconcuadrcula"/>
        <w:tblW w:w="10485" w:type="dxa"/>
        <w:tblInd w:w="-567" w:type="dxa"/>
        <w:tblLook w:val="04A0" w:firstRow="1" w:lastRow="0" w:firstColumn="1" w:lastColumn="0" w:noHBand="0" w:noVBand="1"/>
      </w:tblPr>
      <w:tblGrid>
        <w:gridCol w:w="4316"/>
        <w:gridCol w:w="1279"/>
        <w:gridCol w:w="2644"/>
        <w:gridCol w:w="2246"/>
      </w:tblGrid>
      <w:tr w:rsidR="000F5255" w:rsidRPr="00D130BA" w14:paraId="34A62B7E" w14:textId="77777777" w:rsidTr="00AD7C44">
        <w:trPr>
          <w:trHeight w:val="224"/>
        </w:trPr>
        <w:tc>
          <w:tcPr>
            <w:tcW w:w="5389" w:type="dxa"/>
            <w:hideMark/>
          </w:tcPr>
          <w:p w14:paraId="4698C6BC" w14:textId="77777777" w:rsidR="000F5255" w:rsidRPr="00D130BA" w:rsidRDefault="000F5255"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Producto</w:t>
            </w:r>
          </w:p>
        </w:tc>
        <w:tc>
          <w:tcPr>
            <w:tcW w:w="1326" w:type="dxa"/>
            <w:hideMark/>
          </w:tcPr>
          <w:p w14:paraId="6E0CFB54" w14:textId="77777777" w:rsidR="000F5255" w:rsidRPr="00D130BA" w:rsidRDefault="000F5255"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Horario</w:t>
            </w:r>
          </w:p>
        </w:tc>
        <w:tc>
          <w:tcPr>
            <w:tcW w:w="1502" w:type="dxa"/>
            <w:hideMark/>
          </w:tcPr>
          <w:p w14:paraId="0312A7FA" w14:textId="77777777" w:rsidR="000F5255" w:rsidRPr="00D130BA" w:rsidRDefault="000F5255"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Falta</w:t>
            </w:r>
          </w:p>
        </w:tc>
        <w:tc>
          <w:tcPr>
            <w:tcW w:w="2268" w:type="dxa"/>
            <w:hideMark/>
          </w:tcPr>
          <w:p w14:paraId="7DC2C901" w14:textId="77777777" w:rsidR="000F5255" w:rsidRPr="00D130BA" w:rsidRDefault="000F5255"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Sanción</w:t>
            </w:r>
          </w:p>
        </w:tc>
      </w:tr>
      <w:tr w:rsidR="000F5255" w:rsidRPr="00D130BA" w14:paraId="21BBD870" w14:textId="77777777" w:rsidTr="00AD7C44">
        <w:trPr>
          <w:trHeight w:val="1707"/>
        </w:trPr>
        <w:tc>
          <w:tcPr>
            <w:tcW w:w="0" w:type="auto"/>
            <w:hideMark/>
          </w:tcPr>
          <w:p w14:paraId="65DF628E" w14:textId="77777777" w:rsidR="000F5255" w:rsidRPr="00D130BA" w:rsidRDefault="000F5255"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3.1 EL PROVEEDOR, a fin de acreditar el cumplimiento de sus obligaciones contractuales, se obliga a entregar los documentos y testigos derivados de la orden para su revisión dentro de los cinco días hábiles posteriores al vencimiento de las órdenes de servicio. (ANEXO TÉCNICO APARTADO 3.- Productos entregables).</w:t>
            </w:r>
          </w:p>
          <w:p w14:paraId="45D4BD00" w14:textId="77777777" w:rsidR="000F5255" w:rsidRPr="00D130BA" w:rsidRDefault="000F5255" w:rsidP="00AD7C44">
            <w:pPr>
              <w:spacing w:after="240"/>
              <w:rPr>
                <w:rFonts w:ascii="Noto Sans" w:eastAsia="Times New Roman" w:hAnsi="Noto Sans" w:cs="Noto Sans"/>
                <w:lang w:val="es-MX" w:eastAsia="es-MX"/>
              </w:rPr>
            </w:pPr>
            <w:r w:rsidRPr="00D130BA">
              <w:rPr>
                <w:rFonts w:ascii="Noto Sans" w:eastAsia="Times New Roman" w:hAnsi="Noto Sans" w:cs="Noto Sans"/>
                <w:lang w:val="es-MX" w:eastAsia="es-MX"/>
              </w:rPr>
              <w:br/>
            </w:r>
          </w:p>
        </w:tc>
        <w:tc>
          <w:tcPr>
            <w:tcW w:w="0" w:type="auto"/>
            <w:hideMark/>
          </w:tcPr>
          <w:p w14:paraId="0D63738F" w14:textId="77777777" w:rsidR="000F5255" w:rsidRPr="00D130BA" w:rsidRDefault="000F5255"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De lunes a viernes de las 9:00 a las 18:00 horas</w:t>
            </w:r>
          </w:p>
        </w:tc>
        <w:tc>
          <w:tcPr>
            <w:tcW w:w="0" w:type="auto"/>
            <w:hideMark/>
          </w:tcPr>
          <w:p w14:paraId="3B54DE29" w14:textId="77777777" w:rsidR="000F5255" w:rsidRPr="00D130BA" w:rsidRDefault="000F5255"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EL PROVEEDOR entrega sus testigos y documentos para revisión con posterioridad al plazo de cinco días hábiles al vencimiento de las órdenes de servicio.</w:t>
            </w:r>
          </w:p>
        </w:tc>
        <w:tc>
          <w:tcPr>
            <w:tcW w:w="0" w:type="auto"/>
            <w:hideMark/>
          </w:tcPr>
          <w:p w14:paraId="41DBA0FD" w14:textId="77777777" w:rsidR="000F5255" w:rsidRPr="00D130BA" w:rsidRDefault="000F5255"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 xml:space="preserve">Se establece una pena convencional igual a 2.5% del valor de la orden de servicio por cada día </w:t>
            </w:r>
            <w:r w:rsidRPr="00D130BA">
              <w:rPr>
                <w:rFonts w:ascii="Noto Sans" w:eastAsia="Times New Roman" w:hAnsi="Noto Sans" w:cs="Noto Sans"/>
                <w:color w:val="000000"/>
                <w:sz w:val="16"/>
                <w:szCs w:val="16"/>
                <w:shd w:val="clear" w:color="auto" w:fill="FFFFFF"/>
                <w:lang w:val="es-MX" w:eastAsia="es-MX"/>
              </w:rPr>
              <w:t>hábil</w:t>
            </w:r>
            <w:r w:rsidRPr="00D130BA">
              <w:rPr>
                <w:rFonts w:ascii="Noto Sans" w:eastAsia="Times New Roman" w:hAnsi="Noto Sans" w:cs="Noto Sans"/>
                <w:color w:val="000000"/>
                <w:sz w:val="16"/>
                <w:szCs w:val="16"/>
                <w:lang w:val="es-MX" w:eastAsia="es-MX"/>
              </w:rPr>
              <w:t xml:space="preserve"> de atraso sin IVA.</w:t>
            </w:r>
          </w:p>
        </w:tc>
      </w:tr>
    </w:tbl>
    <w:p w14:paraId="3E6B01F3" w14:textId="77777777" w:rsidR="000F5255" w:rsidRPr="00F30650" w:rsidRDefault="000F5255" w:rsidP="000F5255">
      <w:pPr>
        <w:spacing w:line="276" w:lineRule="auto"/>
        <w:ind w:left="-567" w:right="-1085"/>
        <w:jc w:val="both"/>
        <w:rPr>
          <w:rFonts w:ascii="Noto Sans" w:hAnsi="Noto Sans" w:cs="Noto Sans"/>
          <w:b/>
          <w:bCs/>
          <w:sz w:val="20"/>
          <w:szCs w:val="20"/>
          <w:lang w:val="es-MX"/>
        </w:rPr>
      </w:pPr>
    </w:p>
    <w:p w14:paraId="6BBD56E1" w14:textId="77777777" w:rsidR="000F5255" w:rsidRPr="00F30650" w:rsidRDefault="000F5255" w:rsidP="000F5255">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La pena convencional se calculará de acuerdo con los siguientes términos y condiciones expresados en la fórmula que se detalla a continuación.</w:t>
      </w:r>
    </w:p>
    <w:p w14:paraId="59BAEEAC" w14:textId="77777777" w:rsidR="000F5255" w:rsidRPr="00F30650" w:rsidRDefault="000F5255" w:rsidP="000F5255">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Pca</w:t>
      </w:r>
      <w:proofErr w:type="spellEnd"/>
      <w:r w:rsidRPr="00F30650">
        <w:rPr>
          <w:rFonts w:ascii="Noto Sans" w:hAnsi="Noto Sans" w:cs="Noto Sans"/>
          <w:sz w:val="20"/>
          <w:szCs w:val="20"/>
          <w:lang w:val="es-MX"/>
        </w:rPr>
        <w:t xml:space="preserve">= %d x </w:t>
      </w:r>
      <w:proofErr w:type="spellStart"/>
      <w:r w:rsidRPr="00F30650">
        <w:rPr>
          <w:rFonts w:ascii="Noto Sans" w:hAnsi="Noto Sans" w:cs="Noto Sans"/>
          <w:sz w:val="20"/>
          <w:szCs w:val="20"/>
          <w:lang w:val="es-MX"/>
        </w:rPr>
        <w:t>nda</w:t>
      </w:r>
      <w:proofErr w:type="spellEnd"/>
      <w:r w:rsidRPr="00F30650">
        <w:rPr>
          <w:rFonts w:ascii="Noto Sans" w:hAnsi="Noto Sans" w:cs="Noto Sans"/>
          <w:sz w:val="20"/>
          <w:szCs w:val="20"/>
          <w:lang w:val="es-MX"/>
        </w:rPr>
        <w:t xml:space="preserve"> x </w:t>
      </w:r>
      <w:proofErr w:type="spellStart"/>
      <w:r w:rsidRPr="00F30650">
        <w:rPr>
          <w:rFonts w:ascii="Noto Sans" w:hAnsi="Noto Sans" w:cs="Noto Sans"/>
          <w:sz w:val="20"/>
          <w:szCs w:val="20"/>
          <w:lang w:val="es-MX"/>
        </w:rPr>
        <w:t>vdot</w:t>
      </w:r>
      <w:proofErr w:type="spellEnd"/>
    </w:p>
    <w:p w14:paraId="73631CEA" w14:textId="77777777" w:rsidR="000F5255" w:rsidRPr="00F30650" w:rsidRDefault="000F5255" w:rsidP="000F5255">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Donde </w:t>
      </w:r>
    </w:p>
    <w:p w14:paraId="3C593472" w14:textId="77777777" w:rsidR="000F5255" w:rsidRPr="00F30650" w:rsidRDefault="000F5255" w:rsidP="000F5255">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Pca</w:t>
      </w:r>
      <w:proofErr w:type="spellEnd"/>
      <w:r w:rsidRPr="00F30650">
        <w:rPr>
          <w:rFonts w:ascii="Noto Sans" w:hAnsi="Noto Sans" w:cs="Noto Sans"/>
          <w:sz w:val="20"/>
          <w:szCs w:val="20"/>
          <w:lang w:val="es-MX"/>
        </w:rPr>
        <w:t>= Pena Convencional Aplicable</w:t>
      </w:r>
    </w:p>
    <w:p w14:paraId="453DC192" w14:textId="77777777" w:rsidR="000F5255" w:rsidRPr="00F30650" w:rsidRDefault="000F5255" w:rsidP="000F5255">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%d= porcentaje determinado en la convocatoria, invitación, cotización contrato o pedido por cada día de atraso en la entrega de testigos.</w:t>
      </w:r>
    </w:p>
    <w:p w14:paraId="6D37D4CE" w14:textId="77777777" w:rsidR="000F5255" w:rsidRPr="00F30650" w:rsidRDefault="000F5255" w:rsidP="000F5255">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nda</w:t>
      </w:r>
      <w:proofErr w:type="spellEnd"/>
      <w:r w:rsidRPr="00F30650">
        <w:rPr>
          <w:rFonts w:ascii="Noto Sans" w:hAnsi="Noto Sans" w:cs="Noto Sans"/>
          <w:sz w:val="20"/>
          <w:szCs w:val="20"/>
          <w:lang w:val="es-MX"/>
        </w:rPr>
        <w:t>= Número de días hábiles de atraso posteriores al vencimiento de las órdenes de servicio.   </w:t>
      </w:r>
    </w:p>
    <w:p w14:paraId="11EBC9B7" w14:textId="77777777" w:rsidR="000F5255" w:rsidRPr="00F30650" w:rsidRDefault="000F5255" w:rsidP="000F5255">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vdot</w:t>
      </w:r>
      <w:proofErr w:type="spellEnd"/>
      <w:r w:rsidRPr="00F30650">
        <w:rPr>
          <w:rFonts w:ascii="Noto Sans" w:hAnsi="Noto Sans" w:cs="Noto Sans"/>
          <w:sz w:val="20"/>
          <w:szCs w:val="20"/>
          <w:lang w:val="es-MX"/>
        </w:rPr>
        <w:t>= Valor de la orden de servicio sin IVA.</w:t>
      </w:r>
    </w:p>
    <w:p w14:paraId="1DA63418" w14:textId="77777777" w:rsidR="000F5255" w:rsidRPr="00F30650" w:rsidRDefault="000F5255" w:rsidP="000F5255">
      <w:pPr>
        <w:spacing w:line="276" w:lineRule="auto"/>
        <w:ind w:left="-567" w:right="-1085"/>
        <w:jc w:val="both"/>
        <w:rPr>
          <w:rFonts w:ascii="Noto Sans" w:hAnsi="Noto Sans" w:cs="Noto Sans"/>
          <w:sz w:val="20"/>
          <w:szCs w:val="20"/>
          <w:lang w:val="es-MX"/>
        </w:rPr>
      </w:pPr>
    </w:p>
    <w:p w14:paraId="545491F6" w14:textId="77777777" w:rsidR="003C2129" w:rsidRDefault="000F5255" w:rsidP="003C2129">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En cualquier caso, dicha pena no podrá exceder del monto de la garantía de cumplimiento del contrato, o en caso de que no le aplique la garantía de cumplimiento el límite será del 20% del monto de los servicios entregados o prestados fuera del plazo convenido.</w:t>
      </w:r>
      <w:bookmarkStart w:id="1" w:name="_Hlk196325281"/>
    </w:p>
    <w:p w14:paraId="34677868" w14:textId="77777777" w:rsidR="003C2129" w:rsidRDefault="003C2129" w:rsidP="003C2129">
      <w:pPr>
        <w:spacing w:line="276" w:lineRule="auto"/>
        <w:ind w:left="-567" w:right="-1085"/>
        <w:jc w:val="both"/>
        <w:rPr>
          <w:rFonts w:ascii="Noto Sans" w:hAnsi="Noto Sans" w:cs="Noto Sans"/>
          <w:sz w:val="20"/>
          <w:szCs w:val="20"/>
          <w:lang w:val="es-MX"/>
        </w:rPr>
      </w:pPr>
    </w:p>
    <w:p w14:paraId="0618F558" w14:textId="4B7075E4" w:rsidR="003C2129" w:rsidRPr="003C2129" w:rsidRDefault="003C2129" w:rsidP="003C2129">
      <w:pPr>
        <w:spacing w:line="276" w:lineRule="auto"/>
        <w:ind w:left="-567" w:right="-1085"/>
        <w:jc w:val="both"/>
        <w:rPr>
          <w:rFonts w:ascii="Noto Sans" w:hAnsi="Noto Sans" w:cs="Noto Sans"/>
          <w:sz w:val="20"/>
          <w:szCs w:val="20"/>
          <w:lang w:val="es-MX"/>
        </w:rPr>
      </w:pPr>
      <w:r w:rsidRPr="00341E55">
        <w:rPr>
          <w:rFonts w:ascii="Noto Sans" w:hAnsi="Noto Sans" w:cs="Noto Sans"/>
          <w:b/>
          <w:bCs/>
          <w:sz w:val="21"/>
          <w:szCs w:val="21"/>
          <w:lang w:val="es-MX"/>
        </w:rPr>
        <w:t>h.2) Deducciones</w:t>
      </w:r>
    </w:p>
    <w:bookmarkEnd w:id="1"/>
    <w:p w14:paraId="3BB1887D" w14:textId="77777777" w:rsidR="003C2129" w:rsidRDefault="003C2129" w:rsidP="000F5255">
      <w:pPr>
        <w:spacing w:line="276" w:lineRule="auto"/>
        <w:ind w:left="-567" w:right="-1085"/>
        <w:jc w:val="both"/>
        <w:rPr>
          <w:rFonts w:ascii="Noto Sans" w:hAnsi="Noto Sans" w:cs="Noto Sans"/>
          <w:sz w:val="20"/>
          <w:szCs w:val="20"/>
          <w:lang w:val="es-MX"/>
        </w:rPr>
      </w:pPr>
    </w:p>
    <w:p w14:paraId="79E0FE40" w14:textId="0082F9B0" w:rsidR="000F5255" w:rsidRDefault="000F5255" w:rsidP="000F5255">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En caso de que los servicios sean parciales, deficientes o carezcan de las condiciones detalladas en el anexo técnico y no habiendo causa justificada, el proveedor se hará acreedor a una sanción por los siguientes conceptos:</w:t>
      </w:r>
    </w:p>
    <w:p w14:paraId="4786E2EC" w14:textId="77777777" w:rsidR="000F5255" w:rsidRDefault="000F5255" w:rsidP="000F5255">
      <w:pPr>
        <w:spacing w:line="276" w:lineRule="auto"/>
        <w:ind w:left="-567" w:right="-1085"/>
        <w:jc w:val="both"/>
        <w:rPr>
          <w:rFonts w:ascii="Noto Sans" w:hAnsi="Noto Sans" w:cs="Noto Sans"/>
          <w:sz w:val="20"/>
          <w:szCs w:val="20"/>
          <w:lang w:val="es-MX"/>
        </w:rPr>
      </w:pPr>
    </w:p>
    <w:p w14:paraId="0D4B5F75" w14:textId="77777777" w:rsidR="003C2129" w:rsidRDefault="003C2129" w:rsidP="000F5255">
      <w:pPr>
        <w:spacing w:line="276" w:lineRule="auto"/>
        <w:ind w:left="-567" w:right="-1085"/>
        <w:jc w:val="both"/>
        <w:rPr>
          <w:rFonts w:ascii="Noto Sans" w:hAnsi="Noto Sans" w:cs="Noto Sans"/>
          <w:sz w:val="20"/>
          <w:szCs w:val="20"/>
          <w:lang w:val="es-MX"/>
        </w:rPr>
      </w:pPr>
    </w:p>
    <w:p w14:paraId="47C6BDB6" w14:textId="77777777" w:rsidR="003C2129" w:rsidRDefault="003C2129" w:rsidP="000F5255">
      <w:pPr>
        <w:spacing w:line="276" w:lineRule="auto"/>
        <w:ind w:left="-567" w:right="-1085"/>
        <w:jc w:val="both"/>
        <w:rPr>
          <w:rFonts w:ascii="Noto Sans" w:hAnsi="Noto Sans" w:cs="Noto Sans"/>
          <w:sz w:val="20"/>
          <w:szCs w:val="20"/>
          <w:lang w:val="es-MX"/>
        </w:rPr>
      </w:pPr>
    </w:p>
    <w:p w14:paraId="03150626" w14:textId="77777777" w:rsidR="003C2129" w:rsidRDefault="003C2129" w:rsidP="000F5255">
      <w:pPr>
        <w:spacing w:line="276" w:lineRule="auto"/>
        <w:ind w:left="-567" w:right="-1085"/>
        <w:jc w:val="both"/>
        <w:rPr>
          <w:rFonts w:ascii="Noto Sans" w:hAnsi="Noto Sans" w:cs="Noto Sans"/>
          <w:sz w:val="20"/>
          <w:szCs w:val="20"/>
          <w:lang w:val="es-MX"/>
        </w:rPr>
      </w:pPr>
    </w:p>
    <w:p w14:paraId="15AB8EBB" w14:textId="77777777" w:rsidR="003C2129" w:rsidRDefault="003C2129" w:rsidP="000F5255">
      <w:pPr>
        <w:spacing w:line="276" w:lineRule="auto"/>
        <w:ind w:left="-567" w:right="-1085"/>
        <w:jc w:val="both"/>
        <w:rPr>
          <w:rFonts w:ascii="Noto Sans" w:hAnsi="Noto Sans" w:cs="Noto Sans"/>
          <w:sz w:val="20"/>
          <w:szCs w:val="20"/>
          <w:lang w:val="es-MX"/>
        </w:rPr>
      </w:pPr>
    </w:p>
    <w:p w14:paraId="249B01A7" w14:textId="77777777" w:rsidR="003C2129" w:rsidRDefault="003C2129" w:rsidP="000F5255">
      <w:pPr>
        <w:spacing w:line="276" w:lineRule="auto"/>
        <w:ind w:left="-567" w:right="-1085"/>
        <w:jc w:val="both"/>
        <w:rPr>
          <w:rFonts w:ascii="Noto Sans" w:hAnsi="Noto Sans" w:cs="Noto Sans"/>
          <w:sz w:val="20"/>
          <w:szCs w:val="20"/>
          <w:lang w:val="es-MX"/>
        </w:rPr>
      </w:pPr>
    </w:p>
    <w:p w14:paraId="7E693163" w14:textId="77777777" w:rsidR="003C2129" w:rsidRDefault="003C2129" w:rsidP="000F5255">
      <w:pPr>
        <w:spacing w:line="276" w:lineRule="auto"/>
        <w:ind w:left="-567" w:right="-1085"/>
        <w:jc w:val="both"/>
        <w:rPr>
          <w:rFonts w:ascii="Noto Sans" w:hAnsi="Noto Sans" w:cs="Noto Sans"/>
          <w:sz w:val="20"/>
          <w:szCs w:val="20"/>
          <w:lang w:val="es-MX"/>
        </w:rPr>
      </w:pPr>
    </w:p>
    <w:p w14:paraId="0B48E1F2" w14:textId="77777777" w:rsidR="003C2129" w:rsidRDefault="003C2129" w:rsidP="000F5255">
      <w:pPr>
        <w:spacing w:line="276" w:lineRule="auto"/>
        <w:ind w:left="-567" w:right="-1085"/>
        <w:jc w:val="both"/>
        <w:rPr>
          <w:rFonts w:ascii="Noto Sans" w:hAnsi="Noto Sans" w:cs="Noto Sans"/>
          <w:sz w:val="20"/>
          <w:szCs w:val="20"/>
          <w:lang w:val="es-MX"/>
        </w:rPr>
      </w:pPr>
    </w:p>
    <w:p w14:paraId="4A218F49" w14:textId="77777777" w:rsidR="003C2129" w:rsidRDefault="003C2129" w:rsidP="000F5255">
      <w:pPr>
        <w:spacing w:line="276" w:lineRule="auto"/>
        <w:ind w:left="-567" w:right="-1085"/>
        <w:jc w:val="both"/>
        <w:rPr>
          <w:rFonts w:ascii="Noto Sans" w:hAnsi="Noto Sans" w:cs="Noto Sans"/>
          <w:sz w:val="20"/>
          <w:szCs w:val="20"/>
          <w:lang w:val="es-MX"/>
        </w:rPr>
      </w:pPr>
    </w:p>
    <w:p w14:paraId="251D75D0" w14:textId="77777777" w:rsidR="003C2129" w:rsidRDefault="003C2129" w:rsidP="000F5255">
      <w:pPr>
        <w:spacing w:line="276" w:lineRule="auto"/>
        <w:ind w:left="-567" w:right="-1085"/>
        <w:jc w:val="both"/>
        <w:rPr>
          <w:rFonts w:ascii="Noto Sans" w:hAnsi="Noto Sans" w:cs="Noto Sans"/>
          <w:sz w:val="20"/>
          <w:szCs w:val="20"/>
          <w:lang w:val="es-MX"/>
        </w:rPr>
      </w:pPr>
    </w:p>
    <w:p w14:paraId="2FA7E29F" w14:textId="77777777" w:rsidR="003C2129" w:rsidRDefault="003C2129" w:rsidP="000F5255">
      <w:pPr>
        <w:spacing w:line="276" w:lineRule="auto"/>
        <w:ind w:left="-567" w:right="-1085"/>
        <w:jc w:val="both"/>
        <w:rPr>
          <w:rFonts w:ascii="Noto Sans" w:hAnsi="Noto Sans" w:cs="Noto Sans"/>
          <w:sz w:val="20"/>
          <w:szCs w:val="20"/>
          <w:lang w:val="es-MX"/>
        </w:rPr>
      </w:pPr>
    </w:p>
    <w:tbl>
      <w:tblPr>
        <w:tblW w:w="10768" w:type="dxa"/>
        <w:jc w:val="center"/>
        <w:tblCellMar>
          <w:top w:w="15" w:type="dxa"/>
          <w:left w:w="15" w:type="dxa"/>
          <w:bottom w:w="15" w:type="dxa"/>
          <w:right w:w="15" w:type="dxa"/>
        </w:tblCellMar>
        <w:tblLook w:val="04A0" w:firstRow="1" w:lastRow="0" w:firstColumn="1" w:lastColumn="0" w:noHBand="0" w:noVBand="1"/>
      </w:tblPr>
      <w:tblGrid>
        <w:gridCol w:w="2416"/>
        <w:gridCol w:w="2824"/>
        <w:gridCol w:w="1843"/>
        <w:gridCol w:w="1417"/>
        <w:gridCol w:w="2268"/>
      </w:tblGrid>
      <w:tr w:rsidR="000F5255" w:rsidRPr="008E1C03" w14:paraId="40622C20" w14:textId="77777777" w:rsidTr="00AD7C44">
        <w:trPr>
          <w:jc w:val="center"/>
        </w:trPr>
        <w:tc>
          <w:tcPr>
            <w:tcW w:w="2416"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1CBC5360" w14:textId="77777777" w:rsidR="000F5255" w:rsidRPr="008E1C03" w:rsidRDefault="000F5255" w:rsidP="00AD7C44">
            <w:pPr>
              <w:jc w:val="center"/>
              <w:rPr>
                <w:rFonts w:ascii="Noto Sans" w:eastAsia="Times New Roman" w:hAnsi="Noto Sans" w:cs="Noto Sans"/>
                <w:sz w:val="16"/>
                <w:szCs w:val="16"/>
                <w:lang w:val="es-MX" w:eastAsia="es-MX"/>
              </w:rPr>
            </w:pPr>
            <w:r w:rsidRPr="008E1C03">
              <w:rPr>
                <w:rFonts w:ascii="Noto Sans" w:eastAsia="Times New Roman" w:hAnsi="Noto Sans" w:cs="Noto Sans"/>
                <w:b/>
                <w:bCs/>
                <w:sz w:val="16"/>
                <w:szCs w:val="16"/>
                <w:lang w:val="es-MX" w:eastAsia="es-MX"/>
              </w:rPr>
              <w:t>Concepto y obligación</w:t>
            </w:r>
          </w:p>
        </w:tc>
        <w:tc>
          <w:tcPr>
            <w:tcW w:w="2824"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7FD742F7" w14:textId="77777777" w:rsidR="000F5255" w:rsidRPr="008E1C03" w:rsidRDefault="000F5255" w:rsidP="00AD7C44">
            <w:pPr>
              <w:jc w:val="center"/>
              <w:rPr>
                <w:rFonts w:ascii="Noto Sans" w:eastAsia="Times New Roman" w:hAnsi="Noto Sans" w:cs="Noto Sans"/>
                <w:sz w:val="16"/>
                <w:szCs w:val="16"/>
                <w:lang w:val="es-MX" w:eastAsia="es-MX"/>
              </w:rPr>
            </w:pPr>
            <w:r w:rsidRPr="008E1C03">
              <w:rPr>
                <w:rFonts w:ascii="Noto Sans" w:eastAsia="Times New Roman" w:hAnsi="Noto Sans" w:cs="Noto Sans"/>
                <w:b/>
                <w:bCs/>
                <w:sz w:val="16"/>
                <w:szCs w:val="16"/>
                <w:lang w:val="es-MX" w:eastAsia="es-MX"/>
              </w:rPr>
              <w:t>Nivel de servicio</w:t>
            </w:r>
          </w:p>
        </w:tc>
        <w:tc>
          <w:tcPr>
            <w:tcW w:w="184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00310DAC" w14:textId="77777777" w:rsidR="000F5255" w:rsidRPr="008E1C03" w:rsidRDefault="000F5255" w:rsidP="00AD7C44">
            <w:pPr>
              <w:jc w:val="center"/>
              <w:rPr>
                <w:rFonts w:ascii="Noto Sans" w:eastAsia="Times New Roman" w:hAnsi="Noto Sans" w:cs="Noto Sans"/>
                <w:sz w:val="16"/>
                <w:szCs w:val="16"/>
                <w:lang w:val="es-MX" w:eastAsia="es-MX"/>
              </w:rPr>
            </w:pPr>
            <w:r w:rsidRPr="008E1C03">
              <w:rPr>
                <w:rFonts w:ascii="Noto Sans" w:eastAsia="Times New Roman" w:hAnsi="Noto Sans" w:cs="Noto Sans"/>
                <w:b/>
                <w:bCs/>
                <w:sz w:val="16"/>
                <w:szCs w:val="16"/>
                <w:lang w:val="es-MX" w:eastAsia="es-MX"/>
              </w:rPr>
              <w:t>Unidad de medida</w:t>
            </w:r>
          </w:p>
        </w:tc>
        <w:tc>
          <w:tcPr>
            <w:tcW w:w="1417"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74E63069" w14:textId="77777777" w:rsidR="000F5255" w:rsidRPr="008E1C03" w:rsidRDefault="000F5255" w:rsidP="00AD7C44">
            <w:pPr>
              <w:jc w:val="center"/>
              <w:rPr>
                <w:rFonts w:ascii="Noto Sans" w:eastAsia="Times New Roman" w:hAnsi="Noto Sans" w:cs="Noto Sans"/>
                <w:sz w:val="16"/>
                <w:szCs w:val="16"/>
                <w:lang w:val="es-MX" w:eastAsia="es-MX"/>
              </w:rPr>
            </w:pPr>
            <w:r w:rsidRPr="008E1C03">
              <w:rPr>
                <w:rFonts w:ascii="Noto Sans" w:eastAsia="Times New Roman" w:hAnsi="Noto Sans" w:cs="Noto Sans"/>
                <w:b/>
                <w:bCs/>
                <w:sz w:val="16"/>
                <w:szCs w:val="16"/>
                <w:lang w:val="es-MX" w:eastAsia="es-MX"/>
              </w:rPr>
              <w:t>Deducción</w:t>
            </w:r>
          </w:p>
        </w:tc>
        <w:tc>
          <w:tcPr>
            <w:tcW w:w="2268"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3DDC1D70" w14:textId="77777777" w:rsidR="000F5255" w:rsidRPr="008E1C03" w:rsidRDefault="000F5255" w:rsidP="00AD7C44">
            <w:pPr>
              <w:jc w:val="center"/>
              <w:rPr>
                <w:rFonts w:ascii="Noto Sans" w:eastAsia="Times New Roman" w:hAnsi="Noto Sans" w:cs="Noto Sans"/>
                <w:sz w:val="16"/>
                <w:szCs w:val="16"/>
                <w:lang w:val="es-MX" w:eastAsia="es-MX"/>
              </w:rPr>
            </w:pPr>
            <w:r w:rsidRPr="008E1C03">
              <w:rPr>
                <w:rFonts w:ascii="Noto Sans" w:eastAsia="Times New Roman" w:hAnsi="Noto Sans" w:cs="Noto Sans"/>
                <w:b/>
                <w:bCs/>
                <w:sz w:val="16"/>
                <w:szCs w:val="16"/>
                <w:lang w:val="es-MX" w:eastAsia="es-MX"/>
              </w:rPr>
              <w:t>Límite de incumplimiento</w:t>
            </w:r>
          </w:p>
        </w:tc>
      </w:tr>
      <w:tr w:rsidR="000F5255" w:rsidRPr="008E1C03" w14:paraId="428FF9AA" w14:textId="77777777" w:rsidTr="00AD7C44">
        <w:trPr>
          <w:jc w:val="center"/>
        </w:trPr>
        <w:tc>
          <w:tcPr>
            <w:tcW w:w="2416"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1143AAAF" w14:textId="77777777" w:rsidR="000F5255" w:rsidRPr="008E1C03" w:rsidRDefault="000F5255" w:rsidP="00AD7C44">
            <w:pPr>
              <w:rPr>
                <w:rFonts w:ascii="Noto Sans" w:eastAsia="Times New Roman" w:hAnsi="Noto Sans" w:cs="Noto Sans"/>
                <w:sz w:val="16"/>
                <w:szCs w:val="16"/>
                <w:lang w:val="es-MX" w:eastAsia="es-MX"/>
              </w:rPr>
            </w:pPr>
          </w:p>
        </w:tc>
        <w:tc>
          <w:tcPr>
            <w:tcW w:w="2824"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6BF7B3FE" w14:textId="77777777" w:rsidR="000F5255" w:rsidRPr="008E1C03" w:rsidRDefault="000F5255" w:rsidP="00AD7C44">
            <w:pPr>
              <w:rPr>
                <w:rFonts w:ascii="Noto Sans" w:eastAsia="Times New Roman" w:hAnsi="Noto Sans" w:cs="Noto Sans"/>
                <w:sz w:val="16"/>
                <w:szCs w:val="16"/>
                <w:lang w:val="es-MX" w:eastAsia="es-MX"/>
              </w:rPr>
            </w:pPr>
          </w:p>
        </w:tc>
        <w:tc>
          <w:tcPr>
            <w:tcW w:w="1843"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18C10EDD" w14:textId="77777777" w:rsidR="000F5255" w:rsidRPr="008E1C03" w:rsidRDefault="000F5255" w:rsidP="00AD7C44">
            <w:pPr>
              <w:rPr>
                <w:rFonts w:ascii="Noto Sans" w:eastAsia="Times New Roman" w:hAnsi="Noto Sans" w:cs="Noto Sans"/>
                <w:sz w:val="16"/>
                <w:szCs w:val="16"/>
                <w:lang w:val="es-MX" w:eastAsia="es-MX"/>
              </w:rPr>
            </w:pPr>
          </w:p>
        </w:tc>
        <w:tc>
          <w:tcPr>
            <w:tcW w:w="1417"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4163E3DD" w14:textId="77777777" w:rsidR="000F5255" w:rsidRPr="008E1C03" w:rsidRDefault="000F5255" w:rsidP="00AD7C44">
            <w:pPr>
              <w:rPr>
                <w:rFonts w:ascii="Noto Sans" w:eastAsia="Times New Roman" w:hAnsi="Noto Sans" w:cs="Noto Sans"/>
                <w:sz w:val="16"/>
                <w:szCs w:val="16"/>
                <w:lang w:val="es-MX" w:eastAsia="es-MX"/>
              </w:rPr>
            </w:pPr>
          </w:p>
        </w:tc>
        <w:tc>
          <w:tcPr>
            <w:tcW w:w="2268"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30297C3D" w14:textId="77777777" w:rsidR="000F5255" w:rsidRPr="008E1C03" w:rsidRDefault="000F5255" w:rsidP="00AD7C44">
            <w:pPr>
              <w:rPr>
                <w:rFonts w:ascii="Noto Sans" w:eastAsia="Times New Roman" w:hAnsi="Noto Sans" w:cs="Noto Sans"/>
                <w:sz w:val="16"/>
                <w:szCs w:val="16"/>
                <w:lang w:val="es-MX" w:eastAsia="es-MX"/>
              </w:rPr>
            </w:pPr>
          </w:p>
        </w:tc>
      </w:tr>
      <w:tr w:rsidR="000F5255" w:rsidRPr="008E1C03" w14:paraId="1D58723F" w14:textId="77777777" w:rsidTr="00AD7C44">
        <w:trPr>
          <w:trHeight w:val="4005"/>
          <w:jc w:val="center"/>
        </w:trPr>
        <w:tc>
          <w:tcPr>
            <w:tcW w:w="2416"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2869CFDE"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Medios Electrónicos (Radio):</w:t>
            </w:r>
          </w:p>
          <w:p w14:paraId="7E583AB5" w14:textId="77777777" w:rsidR="000F5255" w:rsidRPr="008E1C03" w:rsidRDefault="000F5255" w:rsidP="00AD7C44">
            <w:pPr>
              <w:rPr>
                <w:rFonts w:ascii="Noto Sans" w:eastAsia="Times New Roman" w:hAnsi="Noto Sans" w:cs="Noto Sans"/>
                <w:sz w:val="16"/>
                <w:szCs w:val="16"/>
                <w:lang w:val="es-MX" w:eastAsia="es-MX"/>
              </w:rPr>
            </w:pPr>
          </w:p>
          <w:p w14:paraId="19D12166" w14:textId="7DE6F432"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 xml:space="preserve">Difusión de las campañas institucionales </w:t>
            </w:r>
            <w:r w:rsidR="005608F1">
              <w:rPr>
                <w:rFonts w:ascii="Noto Sans" w:eastAsia="Times New Roman" w:hAnsi="Noto Sans" w:cs="Noto Sans"/>
                <w:color w:val="000000"/>
                <w:sz w:val="16"/>
                <w:szCs w:val="16"/>
                <w:lang w:val="es-MX" w:eastAsia="es-MX"/>
              </w:rPr>
              <w:t>2026</w:t>
            </w:r>
            <w:r w:rsidRPr="008E1C03">
              <w:rPr>
                <w:rFonts w:ascii="Noto Sans" w:eastAsia="Times New Roman" w:hAnsi="Noto Sans" w:cs="Noto Sans"/>
                <w:color w:val="000000"/>
                <w:sz w:val="16"/>
                <w:szCs w:val="16"/>
                <w:lang w:val="es-MX" w:eastAsia="es-MX"/>
              </w:rPr>
              <w:t>, en los espacios publicitarios a través de emisoras de radio con las que el proveedor cuenta o representa durante la vigencia del servicio, a indicación expresa de EL INSTITUTO, mediante las órdenes de transmisión correspondientes.</w:t>
            </w:r>
          </w:p>
        </w:tc>
        <w:tc>
          <w:tcPr>
            <w:tcW w:w="2824"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06FB1269" w14:textId="77777777" w:rsidR="000F5255" w:rsidRPr="008E1C03" w:rsidRDefault="000F5255" w:rsidP="00AD7C44">
            <w:pPr>
              <w:jc w:val="both"/>
              <w:rPr>
                <w:rFonts w:ascii="Noto Sans" w:eastAsia="Times New Roman" w:hAnsi="Noto Sans" w:cs="Noto Sans"/>
                <w:sz w:val="16"/>
                <w:szCs w:val="16"/>
                <w:lang w:val="es-MX" w:eastAsia="es-MX"/>
              </w:rPr>
            </w:pPr>
            <w:proofErr w:type="spellStart"/>
            <w:r w:rsidRPr="008E1C03">
              <w:rPr>
                <w:rFonts w:ascii="Noto Sans" w:eastAsia="Times New Roman" w:hAnsi="Noto Sans" w:cs="Noto Sans"/>
                <w:color w:val="000000"/>
                <w:sz w:val="16"/>
                <w:szCs w:val="16"/>
                <w:lang w:val="es-MX" w:eastAsia="es-MX"/>
              </w:rPr>
              <w:t>Spoteo</w:t>
            </w:r>
            <w:proofErr w:type="spellEnd"/>
            <w:r w:rsidRPr="008E1C03">
              <w:rPr>
                <w:rFonts w:ascii="Noto Sans" w:eastAsia="Times New Roman" w:hAnsi="Noto Sans" w:cs="Noto Sans"/>
                <w:color w:val="000000"/>
                <w:sz w:val="16"/>
                <w:szCs w:val="16"/>
                <w:lang w:val="es-MX" w:eastAsia="es-MX"/>
              </w:rPr>
              <w:t xml:space="preserve"> normal</w:t>
            </w:r>
          </w:p>
          <w:p w14:paraId="68FDFD24"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Entrega del 100% de testigos cuando la orden conste de hasta 300 spots de los servicios solicitados en cada orden de transmisión.</w:t>
            </w:r>
          </w:p>
          <w:p w14:paraId="72E5345A" w14:textId="77777777" w:rsidR="000F5255" w:rsidRPr="008E1C03" w:rsidRDefault="000F5255" w:rsidP="00AD7C44">
            <w:pPr>
              <w:rPr>
                <w:rFonts w:ascii="Noto Sans" w:eastAsia="Times New Roman" w:hAnsi="Noto Sans" w:cs="Noto Sans"/>
                <w:sz w:val="16"/>
                <w:szCs w:val="16"/>
                <w:lang w:val="es-MX" w:eastAsia="es-MX"/>
              </w:rPr>
            </w:pPr>
          </w:p>
          <w:p w14:paraId="5E165E93"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Entrega del 25% de testigos cuando la orden conste de más de 300 spots de los servicios solicitados en cada orden de transmisión.</w:t>
            </w:r>
          </w:p>
          <w:p w14:paraId="1B370D3D" w14:textId="77777777" w:rsidR="000F5255" w:rsidRPr="008E1C03" w:rsidRDefault="000F5255" w:rsidP="00AD7C44">
            <w:pPr>
              <w:rPr>
                <w:rFonts w:ascii="Noto Sans" w:eastAsia="Times New Roman" w:hAnsi="Noto Sans" w:cs="Noto Sans"/>
                <w:sz w:val="16"/>
                <w:szCs w:val="16"/>
                <w:lang w:val="es-MX" w:eastAsia="es-MX"/>
              </w:rPr>
            </w:pPr>
          </w:p>
          <w:p w14:paraId="2A039CDA"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Bitácora de transmisión con el 100% de los spots solicitados en la orden de transmisión.</w:t>
            </w:r>
          </w:p>
        </w:tc>
        <w:tc>
          <w:tcPr>
            <w:tcW w:w="184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67A519CE"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Por la entrega parcial o deficiente de los testigos de los servicios solicitados en cada orden de transmisión.  </w:t>
            </w:r>
          </w:p>
          <w:p w14:paraId="43DBE008"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El testigo presentado es ilegible, es decir, la saturación, interferencia, gis, o ruido de fondo no permiten identificar la transmisión, spot y/o acción especial solicitada.</w:t>
            </w:r>
          </w:p>
          <w:p w14:paraId="652E77D5" w14:textId="77777777" w:rsidR="000F5255" w:rsidRPr="008E1C03" w:rsidRDefault="000F5255" w:rsidP="00AD7C44">
            <w:pPr>
              <w:rPr>
                <w:rFonts w:ascii="Noto Sans" w:eastAsia="Times New Roman" w:hAnsi="Noto Sans" w:cs="Noto Sans"/>
                <w:sz w:val="16"/>
                <w:szCs w:val="16"/>
                <w:lang w:val="es-MX" w:eastAsia="es-MX"/>
              </w:rPr>
            </w:pPr>
          </w:p>
          <w:p w14:paraId="42B819EB"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Por la prestación deficiente del servicio (spots no transmitidos, spots transmitidos fuera del horario solicitado, spots transmitidos incompletos)</w:t>
            </w:r>
          </w:p>
        </w:tc>
        <w:tc>
          <w:tcPr>
            <w:tcW w:w="1417"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2BC729A9"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Se descontarán los spots con afectaciones y se aplicará el 10% del valor del spot sin IVA; en caso de que el proveedor reincida en la afectación de los servicios prestados este porcentaje incrementará en 5% en cada ocasión en que una orden de transmisión se vea afectada.</w:t>
            </w:r>
          </w:p>
        </w:tc>
        <w:tc>
          <w:tcPr>
            <w:tcW w:w="2268"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1295F158"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Será hasta por el monto de la garantía de cumplimiento o del 20% del monto de los servicios entregados o prestados fuera del plazo convenido, en caso de que no le aplique la entrega de la garantía.</w:t>
            </w:r>
          </w:p>
        </w:tc>
      </w:tr>
      <w:tr w:rsidR="000F5255" w:rsidRPr="008E1C03" w14:paraId="115CCAEA" w14:textId="77777777" w:rsidTr="00AD7C44">
        <w:trPr>
          <w:trHeight w:val="1620"/>
          <w:jc w:val="center"/>
        </w:trPr>
        <w:tc>
          <w:tcPr>
            <w:tcW w:w="2416" w:type="dxa"/>
            <w:vMerge/>
            <w:tcBorders>
              <w:top w:val="single" w:sz="4" w:space="0" w:color="666666"/>
              <w:left w:val="single" w:sz="4" w:space="0" w:color="666666"/>
              <w:bottom w:val="single" w:sz="4" w:space="0" w:color="666666"/>
              <w:right w:val="single" w:sz="4" w:space="0" w:color="666666"/>
            </w:tcBorders>
            <w:vAlign w:val="center"/>
            <w:hideMark/>
          </w:tcPr>
          <w:p w14:paraId="652393FB" w14:textId="77777777" w:rsidR="000F5255" w:rsidRPr="008E1C03" w:rsidRDefault="000F5255" w:rsidP="00AD7C44">
            <w:pPr>
              <w:rPr>
                <w:rFonts w:ascii="Noto Sans" w:eastAsia="Times New Roman" w:hAnsi="Noto Sans" w:cs="Noto Sans"/>
                <w:sz w:val="16"/>
                <w:szCs w:val="16"/>
                <w:lang w:val="es-MX" w:eastAsia="es-MX"/>
              </w:rPr>
            </w:pPr>
          </w:p>
        </w:tc>
        <w:tc>
          <w:tcPr>
            <w:tcW w:w="2824"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20F0EDC3"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Acciones especiales</w:t>
            </w:r>
          </w:p>
          <w:p w14:paraId="55DE02B1" w14:textId="77777777" w:rsidR="000F5255" w:rsidRPr="008E1C03" w:rsidRDefault="000F5255" w:rsidP="00AD7C44">
            <w:pPr>
              <w:jc w:val="both"/>
              <w:rPr>
                <w:rFonts w:ascii="Noto Sans" w:eastAsia="Times New Roman" w:hAnsi="Noto Sans" w:cs="Noto Sans"/>
                <w:sz w:val="16"/>
                <w:szCs w:val="16"/>
                <w:lang w:val="es-MX" w:eastAsia="es-MX"/>
              </w:rPr>
            </w:pPr>
            <w:r w:rsidRPr="008E1C03">
              <w:rPr>
                <w:rFonts w:ascii="Noto Sans" w:eastAsia="Times New Roman" w:hAnsi="Noto Sans" w:cs="Noto Sans"/>
                <w:color w:val="000000"/>
                <w:sz w:val="16"/>
                <w:szCs w:val="16"/>
                <w:lang w:val="es-MX" w:eastAsia="es-MX"/>
              </w:rPr>
              <w:t>Entrega del 100% de bitácoras y testigos de los servicios solicitados en cada orden de transmisión.</w:t>
            </w:r>
          </w:p>
        </w:tc>
        <w:tc>
          <w:tcPr>
            <w:tcW w:w="1843" w:type="dxa"/>
            <w:vMerge/>
            <w:tcBorders>
              <w:top w:val="single" w:sz="4" w:space="0" w:color="666666"/>
              <w:left w:val="single" w:sz="4" w:space="0" w:color="666666"/>
              <w:bottom w:val="single" w:sz="4" w:space="0" w:color="666666"/>
              <w:right w:val="single" w:sz="4" w:space="0" w:color="666666"/>
            </w:tcBorders>
            <w:vAlign w:val="center"/>
            <w:hideMark/>
          </w:tcPr>
          <w:p w14:paraId="411A2AA0" w14:textId="77777777" w:rsidR="000F5255" w:rsidRPr="008E1C03" w:rsidRDefault="000F5255" w:rsidP="00AD7C44">
            <w:pPr>
              <w:rPr>
                <w:rFonts w:ascii="Noto Sans" w:eastAsia="Times New Roman" w:hAnsi="Noto Sans" w:cs="Noto Sans"/>
                <w:sz w:val="16"/>
                <w:szCs w:val="16"/>
                <w:lang w:val="es-MX" w:eastAsia="es-MX"/>
              </w:rPr>
            </w:pPr>
          </w:p>
        </w:tc>
        <w:tc>
          <w:tcPr>
            <w:tcW w:w="1417" w:type="dxa"/>
            <w:vMerge/>
            <w:tcBorders>
              <w:top w:val="single" w:sz="4" w:space="0" w:color="666666"/>
              <w:left w:val="single" w:sz="4" w:space="0" w:color="666666"/>
              <w:bottom w:val="single" w:sz="4" w:space="0" w:color="666666"/>
              <w:right w:val="single" w:sz="4" w:space="0" w:color="666666"/>
            </w:tcBorders>
            <w:vAlign w:val="center"/>
            <w:hideMark/>
          </w:tcPr>
          <w:p w14:paraId="23E20C4D" w14:textId="77777777" w:rsidR="000F5255" w:rsidRPr="008E1C03" w:rsidRDefault="000F5255" w:rsidP="00AD7C44">
            <w:pPr>
              <w:rPr>
                <w:rFonts w:ascii="Noto Sans" w:eastAsia="Times New Roman" w:hAnsi="Noto Sans" w:cs="Noto Sans"/>
                <w:sz w:val="16"/>
                <w:szCs w:val="16"/>
                <w:lang w:val="es-MX" w:eastAsia="es-MX"/>
              </w:rPr>
            </w:pPr>
          </w:p>
        </w:tc>
        <w:tc>
          <w:tcPr>
            <w:tcW w:w="2268" w:type="dxa"/>
            <w:vMerge/>
            <w:tcBorders>
              <w:top w:val="single" w:sz="4" w:space="0" w:color="666666"/>
              <w:left w:val="single" w:sz="4" w:space="0" w:color="666666"/>
              <w:bottom w:val="single" w:sz="4" w:space="0" w:color="666666"/>
              <w:right w:val="single" w:sz="4" w:space="0" w:color="666666"/>
            </w:tcBorders>
            <w:vAlign w:val="center"/>
            <w:hideMark/>
          </w:tcPr>
          <w:p w14:paraId="31FEA716" w14:textId="77777777" w:rsidR="000F5255" w:rsidRPr="008E1C03" w:rsidRDefault="000F5255" w:rsidP="00AD7C44">
            <w:pPr>
              <w:rPr>
                <w:rFonts w:ascii="Noto Sans" w:eastAsia="Times New Roman" w:hAnsi="Noto Sans" w:cs="Noto Sans"/>
                <w:sz w:val="16"/>
                <w:szCs w:val="16"/>
                <w:lang w:val="es-MX" w:eastAsia="es-MX"/>
              </w:rPr>
            </w:pPr>
          </w:p>
        </w:tc>
      </w:tr>
    </w:tbl>
    <w:p w14:paraId="5F45E4DD" w14:textId="77777777" w:rsidR="003C2129" w:rsidRDefault="003C2129" w:rsidP="000F5255">
      <w:pPr>
        <w:spacing w:line="276" w:lineRule="auto"/>
        <w:ind w:left="-567" w:right="-1085"/>
        <w:jc w:val="both"/>
        <w:rPr>
          <w:rFonts w:ascii="Noto Sans" w:hAnsi="Noto Sans" w:cs="Noto Sans"/>
          <w:sz w:val="20"/>
          <w:szCs w:val="20"/>
          <w:lang w:val="es-MX"/>
        </w:rPr>
      </w:pPr>
    </w:p>
    <w:p w14:paraId="09EF585B" w14:textId="77777777" w:rsidR="003C2129" w:rsidRPr="003C2129" w:rsidRDefault="000F5255" w:rsidP="003C2129">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Cabe señalar que el límite de incumplimiento por este concepto será hasta por el monto de la garantía de cumplimiento, o en caso de que no le aplique la garantía de cumplimiento, el límite será de hasta por el 20% del monto de los servicios entregados o prestados fuera del plazo convenido y, en caso de que se rebase éste, se aplicará a juicio del Instituto Mexicano del Seguro Social, cualquiera de las dos opciones previstas en el artículo </w:t>
      </w:r>
      <w:r w:rsidR="003C2129" w:rsidRPr="00FD4607">
        <w:rPr>
          <w:rFonts w:ascii="Noto Sans" w:hAnsi="Noto Sans" w:cs="Noto Sans"/>
          <w:sz w:val="20"/>
          <w:szCs w:val="20"/>
          <w:lang w:val="es-MX"/>
        </w:rPr>
        <w:t>76 de la Ley de Adquisiciones,</w:t>
      </w:r>
      <w:r w:rsidR="003C2129" w:rsidRPr="003C2129">
        <w:rPr>
          <w:rFonts w:ascii="Noto Sans" w:hAnsi="Noto Sans" w:cs="Noto Sans"/>
          <w:sz w:val="20"/>
          <w:szCs w:val="20"/>
          <w:lang w:val="es-MX"/>
        </w:rPr>
        <w:t xml:space="preserve"> Arrendamientos y Servicios del Sector Público.</w:t>
      </w:r>
    </w:p>
    <w:p w14:paraId="4725F7BE" w14:textId="3E1D4060" w:rsidR="000F5255" w:rsidRPr="00023D16" w:rsidRDefault="000F5255" w:rsidP="000F5255">
      <w:pPr>
        <w:spacing w:line="276" w:lineRule="auto"/>
        <w:ind w:left="-567" w:right="-1085"/>
        <w:jc w:val="both"/>
        <w:rPr>
          <w:rFonts w:ascii="Noto Sans" w:hAnsi="Noto Sans" w:cs="Noto Sans"/>
          <w:sz w:val="12"/>
          <w:szCs w:val="12"/>
          <w:lang w:val="es-MX"/>
        </w:rPr>
      </w:pPr>
    </w:p>
    <w:p w14:paraId="169E0985"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La falta de veracidad total o parcial respecto a la información, documentos, testigos y demás entregables que sean proporcionados por EL PROVEEDOR a EL INSTITUTO, será causal de rescisión inmediata del contrato que se celebre, sin más responsabilidad para EL INSTITUTO, sin necesidad de resolución judicial y sin perjuicio de las acciones civiles, administrativas y penales que procedan en contra de EL PROVEEDOR.</w:t>
      </w:r>
    </w:p>
    <w:p w14:paraId="47DFF075" w14:textId="636501DD" w:rsidR="000F5255" w:rsidRPr="00023D16" w:rsidRDefault="000F5255" w:rsidP="000F5255">
      <w:pPr>
        <w:spacing w:line="276" w:lineRule="auto"/>
        <w:ind w:left="-567" w:right="-1085"/>
        <w:jc w:val="both"/>
        <w:rPr>
          <w:rFonts w:ascii="Noto Sans" w:hAnsi="Noto Sans" w:cs="Noto Sans"/>
          <w:sz w:val="12"/>
          <w:szCs w:val="12"/>
          <w:lang w:val="es-MX"/>
        </w:rPr>
      </w:pPr>
    </w:p>
    <w:p w14:paraId="670A81BA" w14:textId="62A959B0" w:rsidR="003C2129" w:rsidRDefault="003C2129" w:rsidP="003C2129">
      <w:pPr>
        <w:ind w:left="-567" w:right="-1085"/>
        <w:jc w:val="both"/>
        <w:rPr>
          <w:rFonts w:ascii="Noto Sans" w:hAnsi="Noto Sans" w:cs="Noto Sans"/>
          <w:b/>
          <w:bCs/>
          <w:sz w:val="20"/>
          <w:szCs w:val="20"/>
          <w:lang w:val="es-MX"/>
        </w:rPr>
      </w:pPr>
      <w:bookmarkStart w:id="2" w:name="_Hlk196324646"/>
      <w:bookmarkStart w:id="3" w:name="_Hlk196325462"/>
      <w:r w:rsidRPr="003C2129">
        <w:rPr>
          <w:rFonts w:ascii="Noto Sans" w:hAnsi="Noto Sans" w:cs="Noto Sans"/>
          <w:b/>
          <w:bCs/>
          <w:sz w:val="20"/>
          <w:szCs w:val="20"/>
          <w:lang w:val="es-MX"/>
        </w:rPr>
        <w:t xml:space="preserve">h.3) Justificación del incremento en el porcentaje máximo establecido en el apartado 5.5.8, inciso e, de las Políticas, Bases y Lineamientos en materia de Adquisiciones, Arrendamientos y Servicios del Instituto Mexicano del Seguro Social, (POBALINES), para la aplicación de penas convencionales y deductivas, respecto a la prestación del </w:t>
      </w:r>
      <w:r w:rsidR="00DE7440" w:rsidRPr="00DE7440">
        <w:rPr>
          <w:rFonts w:ascii="Noto Sans" w:hAnsi="Noto Sans" w:cs="Noto Sans"/>
          <w:b/>
          <w:bCs/>
          <w:sz w:val="20"/>
          <w:szCs w:val="20"/>
          <w:lang w:val="es-MX"/>
        </w:rPr>
        <w:t xml:space="preserve">SERVICIO DE DIFUSIÓN DE LAS CAMPAÑAS INSTITUCIONALES </w:t>
      </w:r>
      <w:r w:rsidR="005608F1">
        <w:rPr>
          <w:rFonts w:ascii="Noto Sans" w:hAnsi="Noto Sans" w:cs="Noto Sans"/>
          <w:b/>
          <w:bCs/>
          <w:sz w:val="20"/>
          <w:szCs w:val="20"/>
          <w:lang w:val="es-MX"/>
        </w:rPr>
        <w:t>2026</w:t>
      </w:r>
      <w:r w:rsidR="00DE7440" w:rsidRPr="00DE7440">
        <w:rPr>
          <w:rFonts w:ascii="Noto Sans" w:hAnsi="Noto Sans" w:cs="Noto Sans"/>
          <w:b/>
          <w:bCs/>
          <w:sz w:val="20"/>
          <w:szCs w:val="20"/>
          <w:lang w:val="es-MX"/>
        </w:rPr>
        <w:t>, A TRAVÉS DE MEDIOS DE COMUNICACIÓN ELECTRÓNICOS (RADIO).</w:t>
      </w:r>
    </w:p>
    <w:p w14:paraId="5CEC030E" w14:textId="77777777" w:rsidR="00DE7440" w:rsidRDefault="00DE7440" w:rsidP="003C2129">
      <w:pPr>
        <w:ind w:left="-567" w:right="-1085"/>
        <w:jc w:val="both"/>
        <w:rPr>
          <w:rFonts w:ascii="Noto Sans" w:hAnsi="Noto Sans" w:cs="Noto Sans"/>
          <w:sz w:val="20"/>
          <w:szCs w:val="20"/>
          <w:lang w:val="es-MX"/>
        </w:rPr>
      </w:pPr>
    </w:p>
    <w:p w14:paraId="0EB07DC1" w14:textId="77777777" w:rsidR="00FD4607" w:rsidRDefault="00FD4607" w:rsidP="003C2129">
      <w:pPr>
        <w:ind w:left="-567" w:right="-1085"/>
        <w:jc w:val="both"/>
        <w:rPr>
          <w:rFonts w:ascii="Noto Sans" w:hAnsi="Noto Sans" w:cs="Noto Sans"/>
          <w:sz w:val="20"/>
          <w:szCs w:val="20"/>
          <w:lang w:val="es-MX"/>
        </w:rPr>
      </w:pPr>
    </w:p>
    <w:p w14:paraId="386F13E3" w14:textId="77777777" w:rsidR="00023D16" w:rsidRDefault="00023D16" w:rsidP="003C2129">
      <w:pPr>
        <w:ind w:left="-567" w:right="-1085"/>
        <w:jc w:val="both"/>
        <w:rPr>
          <w:rFonts w:ascii="Noto Sans" w:hAnsi="Noto Sans" w:cs="Noto Sans"/>
          <w:sz w:val="20"/>
          <w:szCs w:val="20"/>
          <w:lang w:val="es-MX"/>
        </w:rPr>
      </w:pPr>
    </w:p>
    <w:p w14:paraId="191FB7AE" w14:textId="34ED1C05"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El servicio que se </w:t>
      </w:r>
      <w:proofErr w:type="gramStart"/>
      <w:r w:rsidRPr="003C2129">
        <w:rPr>
          <w:rFonts w:ascii="Noto Sans" w:hAnsi="Noto Sans" w:cs="Noto Sans"/>
          <w:sz w:val="20"/>
          <w:szCs w:val="20"/>
          <w:lang w:val="es-MX"/>
        </w:rPr>
        <w:t>propone,</w:t>
      </w:r>
      <w:proofErr w:type="gramEnd"/>
      <w:r w:rsidRPr="003C2129">
        <w:rPr>
          <w:rFonts w:ascii="Noto Sans" w:hAnsi="Noto Sans" w:cs="Noto Sans"/>
          <w:sz w:val="20"/>
          <w:szCs w:val="20"/>
          <w:lang w:val="es-MX"/>
        </w:rPr>
        <w:t xml:space="preserve"> consiste en la contratación de espacios para la difusión de las Campañas Institucionales </w:t>
      </w:r>
      <w:r w:rsidR="005608F1">
        <w:rPr>
          <w:rFonts w:ascii="Noto Sans" w:hAnsi="Noto Sans" w:cs="Noto Sans"/>
          <w:sz w:val="20"/>
          <w:szCs w:val="20"/>
          <w:lang w:val="es-MX"/>
        </w:rPr>
        <w:t>2026</w:t>
      </w:r>
      <w:r w:rsidRPr="003C2129">
        <w:rPr>
          <w:rFonts w:ascii="Noto Sans" w:hAnsi="Noto Sans" w:cs="Noto Sans"/>
          <w:sz w:val="20"/>
          <w:szCs w:val="20"/>
          <w:lang w:val="es-MX"/>
        </w:rPr>
        <w:t xml:space="preserve">, a través de medios de comunicación electrónicos, impresos, digitales y complementarios, mediante piezas de comunicación como son: spots de televisión, spots de radio, inserciones en periódicos y revistas, banners en portales y sitios web, publicidad en muebles urbanos y espectaculares, entre otros. </w:t>
      </w:r>
    </w:p>
    <w:p w14:paraId="70D65265" w14:textId="77777777" w:rsidR="003C2129" w:rsidRPr="00023D16" w:rsidRDefault="003C2129" w:rsidP="003C2129">
      <w:pPr>
        <w:ind w:left="-567" w:right="-1085"/>
        <w:jc w:val="both"/>
        <w:rPr>
          <w:rFonts w:ascii="Noto Sans" w:hAnsi="Noto Sans" w:cs="Noto Sans"/>
          <w:sz w:val="12"/>
          <w:szCs w:val="12"/>
          <w:lang w:val="es-MX"/>
        </w:rPr>
      </w:pPr>
    </w:p>
    <w:p w14:paraId="6923D1C4" w14:textId="70F48E9C" w:rsidR="003C2129" w:rsidRPr="00DE7440"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La contratación de estos servicios es imperativa para el cumplimiento de la Estrategia y Programa Anual de Comunicación Social </w:t>
      </w:r>
      <w:r w:rsidR="005608F1">
        <w:rPr>
          <w:rFonts w:ascii="Noto Sans" w:hAnsi="Noto Sans" w:cs="Noto Sans"/>
          <w:sz w:val="20"/>
          <w:szCs w:val="20"/>
          <w:lang w:val="es-MX"/>
        </w:rPr>
        <w:t>2026</w:t>
      </w:r>
      <w:r w:rsidRPr="003C2129">
        <w:rPr>
          <w:rFonts w:ascii="Noto Sans" w:hAnsi="Noto Sans" w:cs="Noto Sans"/>
          <w:sz w:val="20"/>
          <w:szCs w:val="20"/>
          <w:lang w:val="es-MX"/>
        </w:rPr>
        <w:t xml:space="preserve"> del Instituto Mexicano del Seguro Social, que contempla la difusión de las campañas </w:t>
      </w:r>
      <w:r w:rsidRPr="00DE7440">
        <w:rPr>
          <w:rFonts w:ascii="Noto Sans" w:hAnsi="Noto Sans" w:cs="Noto Sans"/>
          <w:sz w:val="20"/>
          <w:szCs w:val="20"/>
          <w:lang w:val="es-MX"/>
        </w:rPr>
        <w:t>autorizad</w:t>
      </w:r>
      <w:r w:rsidR="00DE7440" w:rsidRPr="00DE7440">
        <w:rPr>
          <w:rFonts w:ascii="Noto Sans" w:hAnsi="Noto Sans" w:cs="Noto Sans"/>
          <w:sz w:val="20"/>
          <w:szCs w:val="20"/>
          <w:lang w:val="es-MX"/>
        </w:rPr>
        <w:t>a</w:t>
      </w:r>
      <w:r w:rsidRPr="00DE7440">
        <w:rPr>
          <w:rFonts w:ascii="Noto Sans" w:hAnsi="Noto Sans" w:cs="Noto Sans"/>
          <w:sz w:val="20"/>
          <w:szCs w:val="20"/>
          <w:lang w:val="es-MX"/>
        </w:rPr>
        <w:t>s por la Dirección General de Normatividad de Comunicación de la Secretaría de Gobernación</w:t>
      </w:r>
      <w:r w:rsidR="00DE7440" w:rsidRPr="00DE7440">
        <w:rPr>
          <w:rFonts w:ascii="Noto Sans" w:hAnsi="Noto Sans" w:cs="Noto Sans"/>
          <w:sz w:val="20"/>
          <w:szCs w:val="20"/>
          <w:lang w:val="es-MX"/>
        </w:rPr>
        <w:t>.</w:t>
      </w:r>
      <w:r w:rsidRPr="00DE7440">
        <w:rPr>
          <w:rFonts w:ascii="Noto Sans" w:hAnsi="Noto Sans" w:cs="Noto Sans"/>
          <w:sz w:val="20"/>
          <w:szCs w:val="20"/>
          <w:lang w:val="es-MX"/>
        </w:rPr>
        <w:t xml:space="preserve"> </w:t>
      </w:r>
    </w:p>
    <w:p w14:paraId="1E334DC2" w14:textId="77777777" w:rsidR="003C2129" w:rsidRPr="00023D16" w:rsidRDefault="003C2129" w:rsidP="003C2129">
      <w:pPr>
        <w:ind w:left="-567" w:right="-1085"/>
        <w:jc w:val="both"/>
        <w:rPr>
          <w:rFonts w:ascii="Noto Sans" w:hAnsi="Noto Sans" w:cs="Noto Sans"/>
          <w:sz w:val="12"/>
          <w:szCs w:val="12"/>
          <w:lang w:val="es-MX"/>
        </w:rPr>
      </w:pPr>
    </w:p>
    <w:p w14:paraId="313AC120"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Se identificó que los espacios publicitarios seleccionados para el cumplimiento de la Estrategia y Programa Anual de Comunicación Social del IMSS para este ejercicio fiscal, cada uno tiene características únicas en cuanto a alcance, cobertura geográfica, accesibilidad, especialidad, destinatarios, audiencia, rating, por esta razón se determinó que la mezcla de los medios seleccionados es la mejor opción para llegar a la población objetivo, con el nivel de penetración requerido por el Instituto para reforzar los mensajes institucionales previstos en la Estrategia y Programa en cuestión, toda vez que existe la necesidad de cubrir al mayor número de público objetivo con la difusión de las campañas institucionales dentro del territorio nacional, así como de diversificar y en algunos casos segmentar el impacto de los medios de comunicación para el público objetivo  en diferentes grupos sociales y ubicación geográfica.</w:t>
      </w:r>
    </w:p>
    <w:p w14:paraId="360FC490" w14:textId="77777777" w:rsidR="003C2129" w:rsidRPr="00023D16" w:rsidRDefault="003C2129" w:rsidP="003C2129">
      <w:pPr>
        <w:ind w:left="-567" w:right="-1085"/>
        <w:jc w:val="both"/>
        <w:rPr>
          <w:rFonts w:ascii="Noto Sans" w:hAnsi="Noto Sans" w:cs="Noto Sans"/>
          <w:sz w:val="12"/>
          <w:szCs w:val="12"/>
          <w:lang w:val="es-MX"/>
        </w:rPr>
      </w:pPr>
    </w:p>
    <w:p w14:paraId="15F49D49"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En ese orden de ideas, el hecho de que el servicio se preste en los plazos establecidos en el documento de términos y condiciones y que cumpla con las características técnicas establecidas para el servicio cobra relevancia ya que garantiza el logro de las metas institucionales en materia de comunicación. Para ello, es indispensable establecer contractualmente un incremento al porcentaje máximo para la aplicación de penas convencionales y deductivas, previsto en el último párrafo del inciso e, del apartado 5.5.8 de las POBALINES, con base en las consideraciones siguientes:</w:t>
      </w:r>
    </w:p>
    <w:p w14:paraId="6442AC3E" w14:textId="77777777" w:rsidR="003C2129" w:rsidRPr="00023D16" w:rsidRDefault="003C2129" w:rsidP="003C2129">
      <w:pPr>
        <w:ind w:left="-567" w:right="-1085"/>
        <w:jc w:val="both"/>
        <w:rPr>
          <w:rFonts w:ascii="Noto Sans" w:hAnsi="Noto Sans" w:cs="Noto Sans"/>
          <w:sz w:val="12"/>
          <w:szCs w:val="12"/>
          <w:lang w:val="es-MX"/>
        </w:rPr>
      </w:pPr>
    </w:p>
    <w:p w14:paraId="6CD6C599"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I. Las POBALINES en el apartado 5.5.8, inciso e, establece que “…La aplicación de las penas convencionales y deductivas será por regla general de la siguiente manera:</w:t>
      </w:r>
    </w:p>
    <w:p w14:paraId="06678130" w14:textId="77777777" w:rsidR="003C2129" w:rsidRPr="003C2129" w:rsidRDefault="003C2129" w:rsidP="003C2129">
      <w:pPr>
        <w:jc w:val="both"/>
        <w:rPr>
          <w:rFonts w:ascii="Noto Sans" w:eastAsia="Montserrat" w:hAnsi="Noto Sans" w:cs="Noto Sans"/>
          <w:i/>
          <w:color w:val="000000"/>
          <w:sz w:val="20"/>
          <w:szCs w:val="20"/>
        </w:rPr>
      </w:pPr>
    </w:p>
    <w:tbl>
      <w:tblPr>
        <w:tblStyle w:val="Tablaconcuadrcula"/>
        <w:tblW w:w="0" w:type="auto"/>
        <w:jc w:val="center"/>
        <w:tblLook w:val="04A0" w:firstRow="1" w:lastRow="0" w:firstColumn="1" w:lastColumn="0" w:noHBand="0" w:noVBand="1"/>
      </w:tblPr>
      <w:tblGrid>
        <w:gridCol w:w="959"/>
        <w:gridCol w:w="2048"/>
        <w:gridCol w:w="2126"/>
      </w:tblGrid>
      <w:tr w:rsidR="003C2129" w:rsidRPr="00341E55" w14:paraId="6BDCEBCE" w14:textId="77777777" w:rsidTr="00A479CF">
        <w:trPr>
          <w:jc w:val="center"/>
        </w:trPr>
        <w:tc>
          <w:tcPr>
            <w:tcW w:w="959" w:type="dxa"/>
          </w:tcPr>
          <w:p w14:paraId="4BD3B2A1" w14:textId="77777777" w:rsidR="003C2129" w:rsidRPr="00341E55" w:rsidRDefault="003C2129" w:rsidP="00A479CF">
            <w:pPr>
              <w:jc w:val="both"/>
              <w:rPr>
                <w:rFonts w:ascii="Noto Sans" w:eastAsia="Montserrat" w:hAnsi="Noto Sans" w:cs="Noto Sans"/>
                <w:i/>
                <w:color w:val="000000"/>
                <w:sz w:val="16"/>
                <w:szCs w:val="18"/>
              </w:rPr>
            </w:pPr>
            <w:bookmarkStart w:id="4" w:name="_Hlk196325919"/>
            <w:r w:rsidRPr="00341E55">
              <w:rPr>
                <w:rFonts w:ascii="Noto Sans" w:eastAsia="Montserrat" w:hAnsi="Noto Sans" w:cs="Noto Sans"/>
                <w:i/>
                <w:color w:val="000000"/>
                <w:sz w:val="16"/>
                <w:szCs w:val="18"/>
              </w:rPr>
              <w:t>Núm.</w:t>
            </w:r>
          </w:p>
        </w:tc>
        <w:tc>
          <w:tcPr>
            <w:tcW w:w="2048" w:type="dxa"/>
          </w:tcPr>
          <w:p w14:paraId="13789A11"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Descripción</w:t>
            </w:r>
          </w:p>
        </w:tc>
        <w:tc>
          <w:tcPr>
            <w:tcW w:w="2126" w:type="dxa"/>
          </w:tcPr>
          <w:p w14:paraId="14BB2DE8"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Rango</w:t>
            </w:r>
          </w:p>
        </w:tc>
      </w:tr>
      <w:tr w:rsidR="003C2129" w:rsidRPr="00341E55" w14:paraId="77EEE92D" w14:textId="77777777" w:rsidTr="00A479CF">
        <w:trPr>
          <w:jc w:val="center"/>
        </w:trPr>
        <w:tc>
          <w:tcPr>
            <w:tcW w:w="959" w:type="dxa"/>
          </w:tcPr>
          <w:p w14:paraId="154F2577"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1</w:t>
            </w:r>
          </w:p>
        </w:tc>
        <w:tc>
          <w:tcPr>
            <w:tcW w:w="2048" w:type="dxa"/>
          </w:tcPr>
          <w:p w14:paraId="185D01CD"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Bienes</w:t>
            </w:r>
          </w:p>
        </w:tc>
        <w:tc>
          <w:tcPr>
            <w:tcW w:w="2126" w:type="dxa"/>
            <w:vMerge w:val="restart"/>
            <w:vAlign w:val="center"/>
          </w:tcPr>
          <w:p w14:paraId="431AD875" w14:textId="77777777" w:rsidR="003C2129" w:rsidRPr="00341E55" w:rsidRDefault="003C2129" w:rsidP="00A479CF">
            <w:pPr>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Del 0.2% al 1%</w:t>
            </w:r>
          </w:p>
        </w:tc>
      </w:tr>
      <w:tr w:rsidR="003C2129" w:rsidRPr="00341E55" w14:paraId="7B948B99" w14:textId="77777777" w:rsidTr="00A479CF">
        <w:trPr>
          <w:jc w:val="center"/>
        </w:trPr>
        <w:tc>
          <w:tcPr>
            <w:tcW w:w="959" w:type="dxa"/>
          </w:tcPr>
          <w:p w14:paraId="23745A09"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2</w:t>
            </w:r>
          </w:p>
        </w:tc>
        <w:tc>
          <w:tcPr>
            <w:tcW w:w="2048" w:type="dxa"/>
          </w:tcPr>
          <w:p w14:paraId="41AEDA52"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Servicios</w:t>
            </w:r>
          </w:p>
        </w:tc>
        <w:tc>
          <w:tcPr>
            <w:tcW w:w="2126" w:type="dxa"/>
            <w:vMerge/>
          </w:tcPr>
          <w:p w14:paraId="6BFA4777" w14:textId="77777777" w:rsidR="003C2129" w:rsidRPr="00341E55" w:rsidRDefault="003C2129" w:rsidP="00A479CF">
            <w:pPr>
              <w:jc w:val="both"/>
              <w:rPr>
                <w:rFonts w:ascii="Noto Sans" w:eastAsia="Montserrat" w:hAnsi="Noto Sans" w:cs="Noto Sans"/>
                <w:i/>
                <w:color w:val="000000"/>
                <w:sz w:val="16"/>
                <w:szCs w:val="18"/>
              </w:rPr>
            </w:pPr>
          </w:p>
        </w:tc>
      </w:tr>
      <w:tr w:rsidR="003C2129" w:rsidRPr="00341E55" w14:paraId="3D80CBD5" w14:textId="77777777" w:rsidTr="00A479CF">
        <w:trPr>
          <w:jc w:val="center"/>
        </w:trPr>
        <w:tc>
          <w:tcPr>
            <w:tcW w:w="959" w:type="dxa"/>
          </w:tcPr>
          <w:p w14:paraId="0CBC7807"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3</w:t>
            </w:r>
          </w:p>
        </w:tc>
        <w:tc>
          <w:tcPr>
            <w:tcW w:w="2048" w:type="dxa"/>
          </w:tcPr>
          <w:p w14:paraId="3555595E" w14:textId="77777777" w:rsidR="003C2129" w:rsidRPr="00341E55" w:rsidRDefault="003C2129"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Arrendamientos</w:t>
            </w:r>
          </w:p>
        </w:tc>
        <w:tc>
          <w:tcPr>
            <w:tcW w:w="2126" w:type="dxa"/>
            <w:vMerge/>
          </w:tcPr>
          <w:p w14:paraId="2652472A" w14:textId="77777777" w:rsidR="003C2129" w:rsidRPr="00341E55" w:rsidRDefault="003C2129" w:rsidP="00A479CF">
            <w:pPr>
              <w:jc w:val="both"/>
              <w:rPr>
                <w:rFonts w:ascii="Noto Sans" w:eastAsia="Montserrat" w:hAnsi="Noto Sans" w:cs="Noto Sans"/>
                <w:i/>
                <w:color w:val="000000"/>
                <w:sz w:val="16"/>
                <w:szCs w:val="18"/>
              </w:rPr>
            </w:pPr>
          </w:p>
        </w:tc>
      </w:tr>
      <w:bookmarkEnd w:id="4"/>
    </w:tbl>
    <w:p w14:paraId="11187F5A" w14:textId="77777777" w:rsidR="003C2129" w:rsidRPr="00341E55" w:rsidRDefault="003C2129" w:rsidP="003C2129">
      <w:pPr>
        <w:ind w:left="-567" w:right="-1085"/>
        <w:jc w:val="both"/>
        <w:rPr>
          <w:rFonts w:ascii="Noto Sans" w:eastAsia="Montserrat" w:hAnsi="Noto Sans" w:cs="Noto Sans"/>
          <w:i/>
          <w:color w:val="000000"/>
          <w:sz w:val="16"/>
          <w:szCs w:val="18"/>
        </w:rPr>
      </w:pPr>
    </w:p>
    <w:p w14:paraId="73DA526B"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Este mismo precepto normativo en el último párrafo prevé una excepción a la regla general anteriormente descrita, consistente en: “…Atendiendo a la naturaleza del bien, arrendamiento o servicio, el Área Requirente podrá determinar un rango mayor, previa </w:t>
      </w:r>
      <w:r w:rsidRPr="003C2129">
        <w:rPr>
          <w:rFonts w:ascii="Noto Sans" w:hAnsi="Noto Sans" w:cs="Noto Sans"/>
          <w:b/>
          <w:bCs/>
          <w:i/>
          <w:iCs/>
          <w:sz w:val="20"/>
          <w:szCs w:val="20"/>
          <w:u w:val="single"/>
          <w:lang w:val="es-MX"/>
        </w:rPr>
        <w:t>justificación</w:t>
      </w:r>
      <w:r w:rsidRPr="003C2129">
        <w:rPr>
          <w:rFonts w:ascii="Noto Sans" w:hAnsi="Noto Sans" w:cs="Noto Sans"/>
          <w:sz w:val="20"/>
          <w:szCs w:val="20"/>
          <w:lang w:val="es-MX"/>
        </w:rPr>
        <w:t xml:space="preserve"> que obre en el expediente de contratación…”.</w:t>
      </w:r>
    </w:p>
    <w:p w14:paraId="1998D1F4" w14:textId="77777777" w:rsidR="003C2129" w:rsidRPr="003C2129" w:rsidRDefault="003C2129" w:rsidP="003C2129">
      <w:pPr>
        <w:ind w:left="-567" w:right="-1085"/>
        <w:jc w:val="both"/>
        <w:rPr>
          <w:rFonts w:ascii="Noto Sans" w:hAnsi="Noto Sans" w:cs="Noto Sans"/>
          <w:sz w:val="20"/>
          <w:szCs w:val="20"/>
          <w:lang w:val="es-MX"/>
        </w:rPr>
      </w:pPr>
    </w:p>
    <w:p w14:paraId="16BB3384"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Es necesario a esta Unidad de Comunicación Social determinar un rango mayor al establecido por regla general, ya que con base en la experiencia de ejercicios anteriores, en los cuales se previó un porcentaje menor, los proveedores de servicios ante la solicitud del área técnica para presentar los testigos al estar próximo a vencer el plazo establecido, manifestaron la preferencia en la aplicación de sanciones en razón de que al medio no le resultaba oneroso el monto de las sanciones en contraste con la utilidad global que representaba el contrato. </w:t>
      </w:r>
    </w:p>
    <w:p w14:paraId="26B4196F" w14:textId="77777777" w:rsidR="003C2129" w:rsidRPr="003C2129" w:rsidRDefault="003C2129" w:rsidP="003C2129">
      <w:pPr>
        <w:ind w:left="-567" w:right="-1085"/>
        <w:jc w:val="both"/>
        <w:rPr>
          <w:rFonts w:ascii="Noto Sans" w:hAnsi="Noto Sans" w:cs="Noto Sans"/>
          <w:sz w:val="20"/>
          <w:szCs w:val="20"/>
          <w:lang w:val="es-MX"/>
        </w:rPr>
      </w:pPr>
    </w:p>
    <w:p w14:paraId="7E87E5AB" w14:textId="77777777" w:rsidR="00023D16" w:rsidRDefault="00023D16">
      <w:pPr>
        <w:rPr>
          <w:rFonts w:ascii="Noto Sans" w:hAnsi="Noto Sans" w:cs="Noto Sans"/>
          <w:sz w:val="20"/>
          <w:szCs w:val="20"/>
          <w:lang w:val="es-MX"/>
        </w:rPr>
      </w:pPr>
      <w:r>
        <w:rPr>
          <w:rFonts w:ascii="Noto Sans" w:hAnsi="Noto Sans" w:cs="Noto Sans"/>
          <w:sz w:val="20"/>
          <w:szCs w:val="20"/>
          <w:lang w:val="es-MX"/>
        </w:rPr>
        <w:br w:type="page"/>
      </w:r>
    </w:p>
    <w:p w14:paraId="6CB1FA1E" w14:textId="77777777" w:rsidR="00023D16" w:rsidRDefault="00023D16" w:rsidP="003C2129">
      <w:pPr>
        <w:ind w:left="-567" w:right="-1085"/>
        <w:jc w:val="both"/>
        <w:rPr>
          <w:rFonts w:ascii="Noto Sans" w:hAnsi="Noto Sans" w:cs="Noto Sans"/>
          <w:sz w:val="20"/>
          <w:szCs w:val="20"/>
          <w:lang w:val="es-MX"/>
        </w:rPr>
      </w:pPr>
    </w:p>
    <w:p w14:paraId="66407FED" w14:textId="20F98E8D"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No obstante, los administradores de los contratos con los medios, en su carácter de servidores públicos, además de tener la responsabilidad de verificar el cumplimiento del servicio, a su vez tienen la carga administrativa respecto del cumplimiento de la Estrategia y Programa Anual de Comunicación Social </w:t>
      </w:r>
      <w:r w:rsidR="005608F1">
        <w:rPr>
          <w:rFonts w:ascii="Noto Sans" w:hAnsi="Noto Sans" w:cs="Noto Sans"/>
          <w:sz w:val="20"/>
          <w:szCs w:val="20"/>
          <w:lang w:val="es-MX"/>
        </w:rPr>
        <w:t>2026</w:t>
      </w:r>
      <w:r w:rsidRPr="003C2129">
        <w:rPr>
          <w:rFonts w:ascii="Noto Sans" w:hAnsi="Noto Sans" w:cs="Noto Sans"/>
          <w:sz w:val="20"/>
          <w:szCs w:val="20"/>
          <w:lang w:val="es-MX"/>
        </w:rPr>
        <w:t xml:space="preserve"> del Instituto Mexicano del Seguro Social, toda vez que el incumplimiento de los servicios no resulta solamente en un atraso o daño económico al Instituto, que se subsana con una sanción económica, sino que el incumplimiento menoscaba el alcance, cobertura geográfica, accesibilidad, especialidad, destinatarios, audiencia, rating, de la mezcla de los medios seleccionados para que los mensajes institucionales previstos en la Estrategia y Programa Anual de Comunicación Social </w:t>
      </w:r>
      <w:r w:rsidR="005608F1">
        <w:rPr>
          <w:rFonts w:ascii="Noto Sans" w:hAnsi="Noto Sans" w:cs="Noto Sans"/>
          <w:sz w:val="20"/>
          <w:szCs w:val="20"/>
          <w:lang w:val="es-MX"/>
        </w:rPr>
        <w:t>2026</w:t>
      </w:r>
      <w:r w:rsidRPr="003C2129">
        <w:rPr>
          <w:rFonts w:ascii="Noto Sans" w:hAnsi="Noto Sans" w:cs="Noto Sans"/>
          <w:sz w:val="20"/>
          <w:szCs w:val="20"/>
          <w:lang w:val="es-MX"/>
        </w:rPr>
        <w:t xml:space="preserve">, lleguen a la población objetivo que se requiere. </w:t>
      </w:r>
    </w:p>
    <w:p w14:paraId="5378A7AC" w14:textId="77777777" w:rsidR="003C2129" w:rsidRPr="003C2129" w:rsidRDefault="003C2129" w:rsidP="003C2129">
      <w:pPr>
        <w:ind w:left="-567" w:right="-1085"/>
        <w:jc w:val="both"/>
        <w:rPr>
          <w:rFonts w:ascii="Noto Sans" w:hAnsi="Noto Sans" w:cs="Noto Sans"/>
          <w:sz w:val="20"/>
          <w:szCs w:val="20"/>
          <w:lang w:val="es-MX"/>
        </w:rPr>
      </w:pPr>
    </w:p>
    <w:p w14:paraId="56C565FF"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La naturaleza de los servicios es un factor determinante para la necesidad de introducir como elemento coercitivo de cumplimiento para los medios, el incremento del porcentaje de las sanciones contractuales, ya que por ejemplo, cuando se programa una pauta para un programa con cierto nivel de audiencia, cobertura y público objetivo, en el caso de que se actualice una pena convencional por atraso, aunque el proveedor lo transmita en condiciones similares a la de la orden, en algunos casos la falta, podría considerarse de imposible reparación ya que podría tratarse de un programa especial que no forma parte de la programación habitual del canal o medio de que se trate, y por lo tanto el impacto, cobertura, alcance, y/o público objetivo no cumplirá con los niveles de impacto necesarios.</w:t>
      </w:r>
    </w:p>
    <w:p w14:paraId="6DE6D2C8" w14:textId="77777777" w:rsidR="003C2129" w:rsidRPr="003C2129" w:rsidRDefault="003C2129" w:rsidP="003C2129">
      <w:pPr>
        <w:ind w:left="-567" w:right="-1085"/>
        <w:jc w:val="both"/>
        <w:rPr>
          <w:rFonts w:ascii="Noto Sans" w:hAnsi="Noto Sans" w:cs="Noto Sans"/>
          <w:sz w:val="20"/>
          <w:szCs w:val="20"/>
          <w:lang w:val="es-MX"/>
        </w:rPr>
      </w:pPr>
    </w:p>
    <w:p w14:paraId="4B31391E" w14:textId="1CCD8E8C"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También se reportaron casos en ejercicios fiscales anteriores, en los que los proveedores sí habían cumplido con la transmisión o inserción establecida en la orden, pero no presentaban en tiempo la comprobación del servicio a través de testigos, lo cual, para los administradores de los contratos y el personal institucional a su cargo, debido al volumen, impacta en la carga administrativa y el control del presupuesto en materia de comunicación social (ya que se trata de contratos en modalidad abierta) lo que obstaculiza los procesos de gestión y desarrollo de la vida de los contratos.</w:t>
      </w:r>
    </w:p>
    <w:p w14:paraId="3A69147B" w14:textId="77777777" w:rsidR="003C2129" w:rsidRPr="003C2129" w:rsidRDefault="003C2129" w:rsidP="003C2129">
      <w:pPr>
        <w:ind w:left="-567" w:right="-1085"/>
        <w:jc w:val="both"/>
        <w:rPr>
          <w:rFonts w:ascii="Noto Sans" w:hAnsi="Noto Sans" w:cs="Noto Sans"/>
          <w:sz w:val="20"/>
          <w:szCs w:val="20"/>
          <w:lang w:val="es-MX"/>
        </w:rPr>
      </w:pPr>
    </w:p>
    <w:p w14:paraId="6C4391B1"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A mayor abundamiento de lo anterior, la determinación de las penas y deductivas se encuentra supeditada a determinar y acreditar la fecha de recepción de testigos, lo cual fue materia del cumplimiento de las acciones correctivas y preventivas en respuesta a dos Cédulas de Observaciones de la Auditoría 129/2020, “al rubro de Adquisiciones, Arrendamientos y Servicios, cumplimiento de contratos de comunicación social” emitidas mediante similar No. 0952 8061 4B30/02/050/2021, expedido por la División de Análisis, Supervisión y Evaluación de Auditoría dependiente de la Coordinación de Atención a Órganos Fiscalizadores; resultando imperativo con ello, a esta requirente, robustecer la coercitividad de la entrega de testigos y el sellado en la recepción de los mismos.</w:t>
      </w:r>
    </w:p>
    <w:p w14:paraId="64915A9D" w14:textId="77777777" w:rsidR="003C2129" w:rsidRPr="003C2129" w:rsidRDefault="003C2129" w:rsidP="003C2129">
      <w:pPr>
        <w:ind w:left="-567" w:right="-1085"/>
        <w:jc w:val="both"/>
        <w:rPr>
          <w:rFonts w:ascii="Noto Sans" w:hAnsi="Noto Sans" w:cs="Noto Sans"/>
          <w:sz w:val="20"/>
          <w:szCs w:val="20"/>
          <w:lang w:val="es-MX"/>
        </w:rPr>
      </w:pPr>
    </w:p>
    <w:p w14:paraId="374E2828"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En ese sentido, queda plenamente acreditada la necesidad de incrementar el rango del porcentaje establecido para las penas convencionales y deductivas, dada la naturaleza del servicio que nos ocupa, para que de esta forma ante esta previsión contractual resulte oneroso a los medios de comunicación actualizar durante la vida del contrato la aplicación de penas convencionales y deductivas y de esta forma el Instituto cuente con una facultad coercitiva para realmente exigir la prestación de los servicios en los términos establecidos.</w:t>
      </w:r>
    </w:p>
    <w:p w14:paraId="4C674851" w14:textId="77777777" w:rsidR="003C2129" w:rsidRPr="003C2129" w:rsidRDefault="003C2129" w:rsidP="003C2129">
      <w:pPr>
        <w:ind w:left="-567" w:right="-1085"/>
        <w:jc w:val="both"/>
        <w:rPr>
          <w:rFonts w:ascii="Noto Sans" w:hAnsi="Noto Sans" w:cs="Noto Sans"/>
          <w:sz w:val="20"/>
          <w:szCs w:val="20"/>
          <w:lang w:val="es-MX"/>
        </w:rPr>
      </w:pPr>
    </w:p>
    <w:p w14:paraId="4BFCCB1F" w14:textId="77777777" w:rsidR="00023D16" w:rsidRDefault="00023D16">
      <w:pPr>
        <w:rPr>
          <w:rFonts w:ascii="Noto Sans" w:hAnsi="Noto Sans" w:cs="Noto Sans"/>
          <w:sz w:val="20"/>
          <w:szCs w:val="20"/>
          <w:lang w:val="es-MX"/>
        </w:rPr>
      </w:pPr>
      <w:r>
        <w:rPr>
          <w:rFonts w:ascii="Noto Sans" w:hAnsi="Noto Sans" w:cs="Noto Sans"/>
          <w:sz w:val="20"/>
          <w:szCs w:val="20"/>
          <w:lang w:val="es-MX"/>
        </w:rPr>
        <w:br w:type="page"/>
      </w:r>
    </w:p>
    <w:p w14:paraId="71D98509" w14:textId="77777777" w:rsidR="00392DB1" w:rsidRDefault="00392DB1" w:rsidP="003C2129">
      <w:pPr>
        <w:ind w:left="-567" w:right="-1085"/>
        <w:jc w:val="both"/>
        <w:rPr>
          <w:rFonts w:ascii="Noto Sans" w:hAnsi="Noto Sans" w:cs="Noto Sans"/>
          <w:sz w:val="20"/>
          <w:szCs w:val="20"/>
          <w:lang w:val="es-MX"/>
        </w:rPr>
      </w:pPr>
    </w:p>
    <w:p w14:paraId="314E37B3" w14:textId="62C31A6C"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De esta forma, el cumplimiento de las contraprestaciones contractuales establecidas en materia de Adquisiciones, coadyuvan al cumplimiento de las metas institucionales en materia de comunicación social, y con ello el uso racional del gasto público para que éste logre el fin para el cual se programó y destinó.</w:t>
      </w:r>
    </w:p>
    <w:p w14:paraId="20BB9390" w14:textId="77777777" w:rsidR="003C2129" w:rsidRPr="003C2129" w:rsidRDefault="003C2129" w:rsidP="003C2129">
      <w:pPr>
        <w:ind w:left="-567" w:right="-1085"/>
        <w:jc w:val="both"/>
        <w:rPr>
          <w:rFonts w:ascii="Noto Sans" w:hAnsi="Noto Sans" w:cs="Noto Sans"/>
          <w:sz w:val="20"/>
          <w:szCs w:val="20"/>
          <w:lang w:val="es-MX"/>
        </w:rPr>
      </w:pPr>
    </w:p>
    <w:p w14:paraId="6C3227CE" w14:textId="12288A40" w:rsidR="003C2129" w:rsidRDefault="003C2129" w:rsidP="00B17821">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Con base en las consideraciones normativas anteriormente expuestas, esta Unidad de Comunicación Social determina procedente el incremento en el rango de porcentaje máximo establecido por regla general para la aplicación de penas convencionales y deductivas, por encontrarse acreditada la excepción prevista en el último párrafo del inciso e, del apartado 5.5.8, de las POBALINES, atendiendo a la naturaleza del </w:t>
      </w:r>
      <w:bookmarkStart w:id="5" w:name="_Hlk196324696"/>
      <w:bookmarkEnd w:id="2"/>
      <w:r w:rsidR="00B17821" w:rsidRPr="00B17821">
        <w:rPr>
          <w:rFonts w:ascii="Noto Sans" w:hAnsi="Noto Sans" w:cs="Noto Sans"/>
          <w:sz w:val="20"/>
          <w:szCs w:val="20"/>
          <w:lang w:val="es-MX"/>
        </w:rPr>
        <w:t xml:space="preserve">SERVICIO DE DIFUSIÓN DE LAS CAMPAÑAS INSTITUCIONALES </w:t>
      </w:r>
      <w:r w:rsidR="005608F1">
        <w:rPr>
          <w:rFonts w:ascii="Noto Sans" w:hAnsi="Noto Sans" w:cs="Noto Sans"/>
          <w:sz w:val="20"/>
          <w:szCs w:val="20"/>
          <w:lang w:val="es-MX"/>
        </w:rPr>
        <w:t>2026</w:t>
      </w:r>
      <w:r w:rsidR="00B17821" w:rsidRPr="00B17821">
        <w:rPr>
          <w:rFonts w:ascii="Noto Sans" w:hAnsi="Noto Sans" w:cs="Noto Sans"/>
          <w:sz w:val="20"/>
          <w:szCs w:val="20"/>
          <w:lang w:val="es-MX"/>
        </w:rPr>
        <w:t>, A TRAVÉS DE MEDIOS DE COMUNICACIÓN ELECTRÓNICOS (RADIO).</w:t>
      </w:r>
    </w:p>
    <w:p w14:paraId="3B926FE5" w14:textId="77777777" w:rsidR="00B17821" w:rsidRDefault="00B17821" w:rsidP="00B17821">
      <w:pPr>
        <w:ind w:left="-567" w:right="-1085"/>
        <w:jc w:val="both"/>
        <w:rPr>
          <w:rFonts w:ascii="Noto Sans" w:hAnsi="Noto Sans" w:cs="Noto Sans"/>
          <w:b/>
          <w:bCs/>
          <w:sz w:val="21"/>
          <w:szCs w:val="21"/>
          <w:lang w:val="es-MX"/>
        </w:rPr>
      </w:pPr>
    </w:p>
    <w:p w14:paraId="46353953" w14:textId="77777777" w:rsidR="00392DB1" w:rsidRDefault="00392DB1" w:rsidP="00B17821">
      <w:pPr>
        <w:ind w:left="-567" w:right="-1085"/>
        <w:jc w:val="both"/>
        <w:rPr>
          <w:rFonts w:ascii="Noto Sans" w:hAnsi="Noto Sans" w:cs="Noto Sans"/>
          <w:b/>
          <w:bCs/>
          <w:sz w:val="21"/>
          <w:szCs w:val="21"/>
          <w:lang w:val="es-MX"/>
        </w:rPr>
      </w:pPr>
    </w:p>
    <w:p w14:paraId="5B2E0BFC" w14:textId="0F1B7D13" w:rsidR="003C2129" w:rsidRPr="00D32AC0" w:rsidRDefault="003C2129" w:rsidP="00023D16">
      <w:pPr>
        <w:spacing w:line="276" w:lineRule="auto"/>
        <w:ind w:left="3" w:right="-1085" w:hanging="570"/>
        <w:jc w:val="both"/>
        <w:rPr>
          <w:rFonts w:ascii="Noto Sans" w:hAnsi="Noto Sans" w:cs="Noto Sans"/>
          <w:b/>
          <w:bCs/>
          <w:sz w:val="20"/>
          <w:szCs w:val="20"/>
          <w:lang w:val="es-MX"/>
        </w:rPr>
      </w:pPr>
      <w:r w:rsidRPr="00D32AC0">
        <w:rPr>
          <w:rFonts w:ascii="Noto Sans" w:hAnsi="Noto Sans" w:cs="Noto Sans"/>
          <w:b/>
          <w:bCs/>
          <w:sz w:val="20"/>
          <w:szCs w:val="20"/>
          <w:lang w:val="es-MX"/>
        </w:rPr>
        <w:t xml:space="preserve">i) </w:t>
      </w:r>
      <w:r w:rsidR="00023D16">
        <w:rPr>
          <w:rFonts w:ascii="Noto Sans" w:hAnsi="Noto Sans" w:cs="Noto Sans"/>
          <w:b/>
          <w:bCs/>
          <w:sz w:val="20"/>
          <w:szCs w:val="20"/>
          <w:lang w:val="es-MX"/>
        </w:rPr>
        <w:tab/>
      </w:r>
      <w:r w:rsidRPr="00D32AC0">
        <w:rPr>
          <w:rFonts w:ascii="Noto Sans" w:hAnsi="Noto Sans" w:cs="Noto Sans"/>
          <w:b/>
          <w:bCs/>
          <w:sz w:val="20"/>
          <w:szCs w:val="20"/>
          <w:lang w:val="es-MX"/>
        </w:rPr>
        <w:t xml:space="preserve">En su caso, mecanismos requeridos al proveedor para responder por defectos o vicios ocultos de los bienes o de la calidad de los servicios. </w:t>
      </w:r>
      <w:r w:rsidRPr="003C2129">
        <w:rPr>
          <w:rFonts w:ascii="Noto Sans" w:hAnsi="Noto Sans" w:cs="Noto Sans"/>
          <w:sz w:val="20"/>
          <w:szCs w:val="20"/>
          <w:lang w:val="es-MX"/>
        </w:rPr>
        <w:t>No aplica.</w:t>
      </w:r>
    </w:p>
    <w:p w14:paraId="108EB005" w14:textId="77777777" w:rsidR="003C2129" w:rsidRPr="00D32AC0" w:rsidRDefault="003C2129" w:rsidP="003C2129">
      <w:pPr>
        <w:spacing w:line="276" w:lineRule="auto"/>
        <w:ind w:left="-567" w:right="-1085"/>
        <w:jc w:val="both"/>
        <w:rPr>
          <w:rFonts w:ascii="Noto Sans" w:hAnsi="Noto Sans" w:cs="Noto Sans"/>
          <w:b/>
          <w:bCs/>
          <w:sz w:val="20"/>
          <w:szCs w:val="20"/>
          <w:lang w:val="es-MX"/>
        </w:rPr>
      </w:pPr>
    </w:p>
    <w:p w14:paraId="4D0371C1" w14:textId="1573F1BF" w:rsidR="003C2129" w:rsidRDefault="003C2129" w:rsidP="00023D16">
      <w:pPr>
        <w:spacing w:line="276" w:lineRule="auto"/>
        <w:ind w:left="3" w:right="-1085" w:hanging="570"/>
        <w:jc w:val="both"/>
        <w:rPr>
          <w:rFonts w:ascii="Noto Sans" w:hAnsi="Noto Sans" w:cs="Noto Sans"/>
          <w:b/>
          <w:bCs/>
          <w:sz w:val="20"/>
          <w:szCs w:val="20"/>
          <w:lang w:val="es-MX"/>
        </w:rPr>
      </w:pPr>
      <w:r w:rsidRPr="00D32AC0">
        <w:rPr>
          <w:rFonts w:ascii="Noto Sans" w:hAnsi="Noto Sans" w:cs="Noto Sans"/>
          <w:b/>
          <w:bCs/>
          <w:sz w:val="20"/>
          <w:szCs w:val="20"/>
          <w:lang w:val="es-MX"/>
        </w:rPr>
        <w:t>j)</w:t>
      </w:r>
      <w:r w:rsidR="00023D16">
        <w:rPr>
          <w:rFonts w:ascii="Noto Sans" w:hAnsi="Noto Sans" w:cs="Noto Sans"/>
          <w:b/>
          <w:bCs/>
          <w:sz w:val="20"/>
          <w:szCs w:val="20"/>
          <w:lang w:val="es-MX"/>
        </w:rPr>
        <w:tab/>
      </w:r>
      <w:r w:rsidRPr="00D32AC0">
        <w:rPr>
          <w:rFonts w:ascii="Noto Sans" w:hAnsi="Noto Sans" w:cs="Noto Sans"/>
          <w:b/>
          <w:bCs/>
          <w:sz w:val="20"/>
          <w:szCs w:val="20"/>
          <w:lang w:val="es-MX"/>
        </w:rPr>
        <w:t xml:space="preserve"> Las garantías de anticipos y cumplimiento, deberán de apegarse al numeral 4.30.1, penúltimo párrafo de estas POBALINES, así como la calidad de servicios y de operación y funcionamiento, que en su caso apliquen</w:t>
      </w:r>
      <w:r w:rsidRPr="003C2129">
        <w:rPr>
          <w:rFonts w:ascii="Noto Sans" w:hAnsi="Noto Sans" w:cs="Noto Sans"/>
          <w:b/>
          <w:bCs/>
          <w:sz w:val="20"/>
          <w:szCs w:val="20"/>
          <w:lang w:val="es-MX"/>
        </w:rPr>
        <w:t>.</w:t>
      </w:r>
    </w:p>
    <w:p w14:paraId="5F9641D0" w14:textId="77777777" w:rsidR="00392DB1" w:rsidRDefault="00392DB1" w:rsidP="00023D16">
      <w:pPr>
        <w:spacing w:line="276" w:lineRule="auto"/>
        <w:ind w:left="3" w:right="-1085" w:hanging="570"/>
        <w:jc w:val="both"/>
        <w:rPr>
          <w:rFonts w:ascii="Noto Sans" w:hAnsi="Noto Sans" w:cs="Noto Sans"/>
          <w:b/>
          <w:bCs/>
          <w:sz w:val="20"/>
          <w:szCs w:val="20"/>
          <w:lang w:val="es-MX"/>
        </w:rPr>
      </w:pPr>
    </w:p>
    <w:p w14:paraId="106FC171" w14:textId="77777777" w:rsidR="00392DB1" w:rsidRPr="00341E55" w:rsidRDefault="00392DB1" w:rsidP="00392DB1">
      <w:pPr>
        <w:jc w:val="both"/>
        <w:rPr>
          <w:rFonts w:ascii="Noto Sans" w:hAnsi="Noto Sans" w:cs="Noto Sans"/>
          <w:b/>
          <w:bCs/>
          <w:sz w:val="21"/>
          <w:szCs w:val="21"/>
          <w:lang w:val="es-MX"/>
        </w:rPr>
      </w:pPr>
      <w:r w:rsidRPr="00341E55">
        <w:rPr>
          <w:rFonts w:ascii="Noto Sans" w:hAnsi="Noto Sans" w:cs="Noto Sans"/>
          <w:b/>
          <w:bCs/>
          <w:sz w:val="21"/>
          <w:szCs w:val="21"/>
          <w:lang w:val="es-MX"/>
        </w:rPr>
        <w:t>J.1. Garantía de cumplimiento.</w:t>
      </w:r>
    </w:p>
    <w:p w14:paraId="2A5CD123" w14:textId="77777777" w:rsidR="00392DB1" w:rsidRPr="00341E55" w:rsidRDefault="00392DB1" w:rsidP="00392DB1">
      <w:pPr>
        <w:spacing w:line="276" w:lineRule="auto"/>
        <w:jc w:val="both"/>
        <w:rPr>
          <w:rFonts w:ascii="Noto Sans" w:hAnsi="Noto Sans" w:cs="Noto Sans"/>
          <w:b/>
          <w:bCs/>
          <w:sz w:val="21"/>
          <w:szCs w:val="21"/>
          <w:lang w:val="es-MX"/>
        </w:rPr>
      </w:pPr>
    </w:p>
    <w:p w14:paraId="45CFF153" w14:textId="77777777" w:rsidR="00392DB1" w:rsidRPr="00392DB1" w:rsidRDefault="00392DB1" w:rsidP="00392DB1">
      <w:pPr>
        <w:jc w:val="both"/>
        <w:rPr>
          <w:rFonts w:ascii="Noto Sans" w:hAnsi="Noto Sans" w:cs="Noto Sans"/>
          <w:sz w:val="21"/>
          <w:szCs w:val="21"/>
          <w:lang w:val="es-MX"/>
        </w:rPr>
      </w:pPr>
      <w:r w:rsidRPr="00341E55">
        <w:rPr>
          <w:rFonts w:ascii="Noto Sans" w:hAnsi="Noto Sans" w:cs="Noto Sans"/>
          <w:sz w:val="21"/>
          <w:szCs w:val="21"/>
          <w:lang w:val="es-MX"/>
        </w:rPr>
        <w:t>Para garantizar el cumplimiento de las obligaciones estipuladas en el contrato adjudicado, el proveedor deberá presentar en la División de Contratos dependiente de la Coordinación</w:t>
      </w:r>
      <w:r>
        <w:rPr>
          <w:rFonts w:ascii="Noto Sans" w:hAnsi="Noto Sans" w:cs="Noto Sans"/>
          <w:sz w:val="21"/>
          <w:szCs w:val="21"/>
          <w:lang w:val="es-MX"/>
        </w:rPr>
        <w:t xml:space="preserve"> </w:t>
      </w:r>
      <w:r w:rsidRPr="00341E55">
        <w:rPr>
          <w:rFonts w:ascii="Noto Sans" w:hAnsi="Noto Sans" w:cs="Noto Sans"/>
          <w:sz w:val="21"/>
          <w:szCs w:val="21"/>
          <w:lang w:val="es-MX"/>
        </w:rPr>
        <w:t xml:space="preserve">Técnica de Planeación y Contratos, póliza de fianza, expedida por afianzadora debidamente constituida en términos de la Ley de Instituciones de Seguros y Fianzas, </w:t>
      </w:r>
      <w:r>
        <w:rPr>
          <w:rFonts w:ascii="Noto Sans" w:hAnsi="Noto Sans" w:cs="Noto Sans"/>
          <w:sz w:val="21"/>
          <w:szCs w:val="21"/>
          <w:lang w:val="es-MX"/>
        </w:rPr>
        <w:br/>
      </w:r>
      <w:r>
        <w:rPr>
          <w:rFonts w:ascii="Noto Sans" w:hAnsi="Noto Sans" w:cs="Noto Sans"/>
          <w:sz w:val="21"/>
          <w:szCs w:val="21"/>
          <w:lang w:val="es-MX"/>
        </w:rPr>
        <w:br/>
      </w:r>
      <w:r w:rsidRPr="00341E55">
        <w:rPr>
          <w:rFonts w:ascii="Noto Sans" w:hAnsi="Noto Sans" w:cs="Noto Sans"/>
          <w:sz w:val="21"/>
          <w:szCs w:val="21"/>
          <w:lang w:val="es-MX"/>
        </w:rPr>
        <w:t xml:space="preserve">dentro de los diez días naturales siguientes a la firma del contrato respectivo, para garantizar el cumplimiento de todas y cada una de las obligaciones a su cargo derivadas del contrato adjudicado, a favor del Instituto Mexicano del Seguro Social por un monto equivalente al 10% por ciento sobre el importe máximo del contrato, sin incluir el Impuesto al Valor agregado (I.V.A.), en moneda nacional de conformidad con lo establecido en el </w:t>
      </w:r>
      <w:r w:rsidRPr="00392DB1">
        <w:rPr>
          <w:rFonts w:ascii="Noto Sans" w:hAnsi="Noto Sans" w:cs="Noto Sans"/>
          <w:sz w:val="21"/>
          <w:szCs w:val="21"/>
          <w:lang w:val="es-MX"/>
        </w:rPr>
        <w:t>artículo 66, fracción II, de la Ley de Adquisiciones, Arrendamientos y Servicios del Sector Público; además de que dicha garantía será divisible con fundamento en el artículo 126 del Reglamento de la Ley de Adquisiciones, Arrendamientos y Servicios del Sector Público.</w:t>
      </w:r>
    </w:p>
    <w:p w14:paraId="5569CD2D" w14:textId="77777777" w:rsidR="00392DB1" w:rsidRPr="00392DB1" w:rsidRDefault="00392DB1" w:rsidP="00392DB1">
      <w:pPr>
        <w:jc w:val="both"/>
        <w:rPr>
          <w:rFonts w:ascii="Noto Sans" w:hAnsi="Noto Sans" w:cs="Noto Sans"/>
          <w:sz w:val="21"/>
          <w:szCs w:val="21"/>
          <w:lang w:val="es-MX"/>
        </w:rPr>
      </w:pPr>
    </w:p>
    <w:p w14:paraId="56F110E3" w14:textId="77777777" w:rsidR="00392DB1" w:rsidRPr="00392DB1" w:rsidRDefault="00392DB1" w:rsidP="00392DB1">
      <w:pPr>
        <w:jc w:val="both"/>
        <w:rPr>
          <w:rFonts w:ascii="Noto Sans" w:hAnsi="Noto Sans" w:cs="Noto Sans"/>
          <w:sz w:val="21"/>
          <w:szCs w:val="21"/>
          <w:lang w:val="es-MX"/>
        </w:rPr>
      </w:pPr>
      <w:r w:rsidRPr="00392DB1">
        <w:rPr>
          <w:rFonts w:ascii="Noto Sans" w:hAnsi="Noto Sans" w:cs="Noto Sans"/>
          <w:sz w:val="21"/>
          <w:szCs w:val="21"/>
          <w:lang w:val="es-MX"/>
        </w:rPr>
        <w:t xml:space="preserve">La fianza permanecerá vigente durante el cumplimiento de la obligación que garantiza y continuará vigente en caso de que se otorgue prórroga al cumplimiento del contrato, o hasta en tanto el proveedor restituya al instituto los saldos a su cargo que se detecten al realizarse el finiquito a que alude la fracción III, del artículo 151 del Reglamento de la Ley de Adquisiciones, Arrendamientos y Servicios del Sector Público, así como durante la </w:t>
      </w:r>
      <w:r w:rsidRPr="00392DB1">
        <w:rPr>
          <w:rFonts w:ascii="Noto Sans" w:hAnsi="Noto Sans" w:cs="Noto Sans"/>
          <w:sz w:val="21"/>
          <w:szCs w:val="21"/>
          <w:lang w:val="es-MX"/>
        </w:rPr>
        <w:lastRenderedPageBreak/>
        <w:t>substanciación de todos los recursos legales o de los juicios que se interpongan y hasta que se dicte resolución definitiva que quede firme.</w:t>
      </w:r>
    </w:p>
    <w:p w14:paraId="7921B0A0" w14:textId="77777777" w:rsidR="00392DB1" w:rsidRPr="00392DB1" w:rsidRDefault="00392DB1" w:rsidP="00392DB1">
      <w:pPr>
        <w:jc w:val="both"/>
        <w:rPr>
          <w:rFonts w:ascii="Noto Sans" w:hAnsi="Noto Sans" w:cs="Noto Sans"/>
          <w:sz w:val="21"/>
          <w:szCs w:val="21"/>
          <w:lang w:val="es-MX"/>
        </w:rPr>
      </w:pPr>
    </w:p>
    <w:p w14:paraId="1C81D400" w14:textId="46C73182" w:rsidR="00392DB1" w:rsidRPr="00341E55" w:rsidRDefault="00392DB1" w:rsidP="00392DB1">
      <w:pPr>
        <w:jc w:val="both"/>
        <w:rPr>
          <w:rFonts w:ascii="Noto Sans" w:hAnsi="Noto Sans" w:cs="Noto Sans"/>
          <w:sz w:val="21"/>
          <w:szCs w:val="21"/>
          <w:lang w:val="es-MX"/>
        </w:rPr>
      </w:pPr>
      <w:r w:rsidRPr="00392DB1">
        <w:rPr>
          <w:rFonts w:ascii="Noto Sans" w:hAnsi="Noto Sans" w:cs="Noto Sans"/>
          <w:sz w:val="21"/>
          <w:szCs w:val="21"/>
          <w:lang w:val="es-MX"/>
        </w:rPr>
        <w:t>En caso de que se actualice lo establecido en la fracción III, del artículo 151 del Reglamento de la Ley de Adquisiciones, Arrendamientos y Servicios del Sector Público, si en ese momento procesal no es posible realizar retención sobre el CFDI que se presente para pago, los saldos a cargo del proveedor se constituirán en pago en exceso, y en consecuencia el proveedor deberá reintegrar las cantidades que se determinen, más los intereses correspondientes conforme a la tasa que establezca la Ley de Ingresos de la Federación.</w:t>
      </w:r>
      <w:r>
        <w:rPr>
          <w:rFonts w:ascii="Noto Sans" w:hAnsi="Noto Sans" w:cs="Noto Sans"/>
          <w:sz w:val="21"/>
          <w:szCs w:val="21"/>
          <w:lang w:val="es-MX"/>
        </w:rPr>
        <w:tab/>
      </w:r>
    </w:p>
    <w:p w14:paraId="3BAED0CD" w14:textId="77777777" w:rsidR="00392DB1" w:rsidRPr="00341E55" w:rsidRDefault="00392DB1" w:rsidP="00392DB1">
      <w:pPr>
        <w:jc w:val="both"/>
        <w:rPr>
          <w:rFonts w:ascii="Noto Sans" w:hAnsi="Noto Sans" w:cs="Noto Sans"/>
          <w:sz w:val="21"/>
          <w:szCs w:val="21"/>
          <w:lang w:val="es-MX"/>
        </w:rPr>
      </w:pPr>
    </w:p>
    <w:p w14:paraId="7DC54FF7" w14:textId="3C8D2948" w:rsidR="00392DB1" w:rsidRPr="00D32AC0" w:rsidRDefault="00392DB1" w:rsidP="00392DB1">
      <w:pPr>
        <w:spacing w:line="276" w:lineRule="auto"/>
        <w:ind w:left="3" w:right="-1085" w:hanging="3"/>
        <w:jc w:val="both"/>
        <w:rPr>
          <w:rFonts w:ascii="Noto Sans" w:hAnsi="Noto Sans" w:cs="Noto Sans"/>
          <w:b/>
          <w:bCs/>
          <w:sz w:val="20"/>
          <w:szCs w:val="20"/>
          <w:lang w:val="es-MX"/>
        </w:rPr>
      </w:pPr>
      <w:r w:rsidRPr="00341E55">
        <w:rPr>
          <w:rFonts w:ascii="Noto Sans" w:hAnsi="Noto Sans" w:cs="Noto Sans"/>
          <w:sz w:val="21"/>
          <w:szCs w:val="21"/>
          <w:lang w:val="es-MX"/>
        </w:rPr>
        <w:t>Por la naturaleza de los servicios el monto de los saldos a cargo del proveedor será determinado de conformidad con la deductiva establecida el inciso h) (Penas Convencionales y Deducciones) del presente documento, más los intereses conforme a la tasa que establezca la Ley de Ingresos de la Federación los que se computarán por días naturales a partir del pagó en exceso y hasta su reintegro al Instituto Mexicano del Seguro Social.</w:t>
      </w:r>
    </w:p>
    <w:p w14:paraId="53A8B33C" w14:textId="77777777" w:rsidR="003C2129" w:rsidRPr="003C2129" w:rsidRDefault="003C2129" w:rsidP="003C2129">
      <w:pPr>
        <w:spacing w:line="276" w:lineRule="auto"/>
        <w:ind w:left="-567" w:right="-1085"/>
        <w:jc w:val="both"/>
        <w:rPr>
          <w:rFonts w:ascii="Noto Sans" w:hAnsi="Noto Sans" w:cs="Noto Sans"/>
          <w:b/>
          <w:bCs/>
          <w:sz w:val="20"/>
          <w:szCs w:val="20"/>
          <w:lang w:val="es-MX"/>
        </w:rPr>
      </w:pPr>
    </w:p>
    <w:p w14:paraId="09F0F93D" w14:textId="6D72A763" w:rsidR="003C2129" w:rsidRPr="003C2129" w:rsidRDefault="003C2129" w:rsidP="00023D16">
      <w:pPr>
        <w:spacing w:line="276" w:lineRule="auto"/>
        <w:ind w:left="3" w:right="-1085" w:hanging="570"/>
        <w:jc w:val="both"/>
        <w:rPr>
          <w:rFonts w:ascii="Noto Sans" w:hAnsi="Noto Sans" w:cs="Noto Sans"/>
          <w:b/>
          <w:bCs/>
          <w:sz w:val="20"/>
          <w:szCs w:val="20"/>
          <w:lang w:val="es-MX"/>
        </w:rPr>
      </w:pPr>
      <w:r w:rsidRPr="003C2129">
        <w:rPr>
          <w:rFonts w:ascii="Noto Sans" w:hAnsi="Noto Sans" w:cs="Noto Sans"/>
          <w:b/>
          <w:bCs/>
          <w:sz w:val="20"/>
          <w:szCs w:val="20"/>
          <w:lang w:val="es-MX"/>
        </w:rPr>
        <w:t xml:space="preserve">k) </w:t>
      </w:r>
      <w:r w:rsidR="00023D16">
        <w:rPr>
          <w:rFonts w:ascii="Noto Sans" w:hAnsi="Noto Sans" w:cs="Noto Sans"/>
          <w:b/>
          <w:bCs/>
          <w:sz w:val="20"/>
          <w:szCs w:val="20"/>
          <w:lang w:val="es-MX"/>
        </w:rPr>
        <w:tab/>
      </w:r>
      <w:r w:rsidRPr="003C2129">
        <w:rPr>
          <w:rFonts w:ascii="Noto Sans" w:hAnsi="Noto Sans" w:cs="Noto Sans"/>
          <w:b/>
          <w:bCs/>
          <w:sz w:val="20"/>
          <w:szCs w:val="20"/>
          <w:lang w:val="es-MX"/>
        </w:rPr>
        <w:t>Precisar la forma de pago para lo cual deberán especificar el tipo de moneda y si se realizará en una sola exhibición o en pagos progresivos conforme a las entregas programadas en el contrato respectivo.</w:t>
      </w:r>
    </w:p>
    <w:p w14:paraId="7C9656F9" w14:textId="77777777" w:rsidR="003C2129" w:rsidRPr="003C2129" w:rsidRDefault="003C2129" w:rsidP="003C2129">
      <w:pPr>
        <w:spacing w:line="276" w:lineRule="auto"/>
        <w:ind w:left="-567" w:right="-1085"/>
        <w:jc w:val="both"/>
        <w:rPr>
          <w:rFonts w:ascii="Noto Sans" w:hAnsi="Noto Sans" w:cs="Noto Sans"/>
          <w:b/>
          <w:bCs/>
          <w:sz w:val="20"/>
          <w:szCs w:val="20"/>
          <w:lang w:val="es-MX"/>
        </w:rPr>
      </w:pPr>
    </w:p>
    <w:p w14:paraId="2E93890B" w14:textId="55F111A8" w:rsidR="003C2129" w:rsidRPr="003C2129" w:rsidRDefault="00145B4D" w:rsidP="003C2129">
      <w:pPr>
        <w:ind w:left="-567" w:right="-1085"/>
        <w:jc w:val="both"/>
        <w:rPr>
          <w:rFonts w:ascii="Noto Sans" w:hAnsi="Noto Sans" w:cs="Noto Sans"/>
          <w:sz w:val="20"/>
          <w:szCs w:val="20"/>
          <w:lang w:val="es-MX"/>
        </w:rPr>
      </w:pPr>
      <w:r w:rsidRPr="00387999">
        <w:rPr>
          <w:rFonts w:ascii="Noto Sans" w:hAnsi="Noto Sans" w:cs="Noto Sans"/>
          <w:sz w:val="21"/>
          <w:szCs w:val="21"/>
          <w:lang w:val="es-MX"/>
        </w:rPr>
        <w:t xml:space="preserve">El pago se realizará en pagos progresivos conforme a las entregas programadas en el contrato respectivo por los servicios de cada “ORDEN DE TRABAJO”, en pesos mexicanos por servicio devengado, </w:t>
      </w:r>
      <w:r w:rsidRPr="00387999">
        <w:rPr>
          <w:rFonts w:ascii="Noto Sans" w:hAnsi="Noto Sans" w:cs="Noto Sans"/>
          <w:b/>
          <w:bCs/>
          <w:sz w:val="21"/>
          <w:szCs w:val="21"/>
          <w:lang w:val="es-MX"/>
        </w:rPr>
        <w:t>de acuerdo al Artículo 73 de la Ley de Adquisiciones, Arrendamientos y Servicios del Sector Público (LAASSP) y al inciso 5.5.1 de las Políticas, Bases y Lineamientos en Materia de Adquisiciones, Arrendamientos y Servicios (POBALINES),</w:t>
      </w:r>
      <w:r w:rsidRPr="00387999">
        <w:rPr>
          <w:rFonts w:ascii="Noto Sans" w:hAnsi="Noto Sans" w:cs="Noto Sans"/>
          <w:sz w:val="21"/>
          <w:szCs w:val="21"/>
          <w:lang w:val="es-MX"/>
        </w:rPr>
        <w:t xml:space="preserve"> siempre y cuando se cuente con la suficiencia presupuestal, así como con la documentación comprobatoria que acredita la entrega de los bienes y/o servicios y se indique en dicha documentación los bienes y/o servicios entregados, número de fianza y denominación social de la afianzadora, en su caso. Los contratos y su dictamen presupuestal deberán estar registrados en el sistema PREI </w:t>
      </w:r>
      <w:proofErr w:type="spellStart"/>
      <w:r w:rsidRPr="00387999">
        <w:rPr>
          <w:rFonts w:ascii="Noto Sans" w:hAnsi="Noto Sans" w:cs="Noto Sans"/>
          <w:sz w:val="21"/>
          <w:szCs w:val="21"/>
          <w:lang w:val="es-MX"/>
        </w:rPr>
        <w:t>Millenium</w:t>
      </w:r>
      <w:proofErr w:type="spellEnd"/>
      <w:r w:rsidRPr="00387999">
        <w:rPr>
          <w:rFonts w:ascii="Noto Sans" w:hAnsi="Noto Sans" w:cs="Noto Sans"/>
          <w:sz w:val="21"/>
          <w:szCs w:val="21"/>
          <w:lang w:val="es-MX"/>
        </w:rPr>
        <w:t>.</w:t>
      </w:r>
    </w:p>
    <w:p w14:paraId="6CFD24C3" w14:textId="77777777" w:rsidR="003C2129" w:rsidRPr="003C2129" w:rsidRDefault="003C2129" w:rsidP="003C2129">
      <w:pPr>
        <w:ind w:left="-567" w:right="-1085"/>
        <w:jc w:val="both"/>
        <w:rPr>
          <w:rFonts w:ascii="Noto Sans" w:hAnsi="Noto Sans" w:cs="Noto Sans"/>
          <w:sz w:val="20"/>
          <w:szCs w:val="20"/>
          <w:lang w:val="es-MX"/>
        </w:rPr>
      </w:pPr>
    </w:p>
    <w:p w14:paraId="46784EC4"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Atendiendo a las características de la prestación del servicio, el mismo se formalizará </w:t>
      </w:r>
      <w:proofErr w:type="gramStart"/>
      <w:r w:rsidRPr="003C2129">
        <w:rPr>
          <w:rFonts w:ascii="Noto Sans" w:hAnsi="Noto Sans" w:cs="Noto Sans"/>
          <w:sz w:val="20"/>
          <w:szCs w:val="20"/>
          <w:lang w:val="es-MX"/>
        </w:rPr>
        <w:t>de acuerdo a</w:t>
      </w:r>
      <w:proofErr w:type="gramEnd"/>
      <w:r w:rsidRPr="003C2129">
        <w:rPr>
          <w:rFonts w:ascii="Noto Sans" w:hAnsi="Noto Sans" w:cs="Noto Sans"/>
          <w:sz w:val="20"/>
          <w:szCs w:val="20"/>
          <w:lang w:val="es-MX"/>
        </w:rPr>
        <w:t xml:space="preserve"> cantidades previamente determinadas, establecidas con base al estudio de mercado que se realice, así como al presupuesto disponible autorizado mediante un Dictamen de Disponibilidad Presupuestal.</w:t>
      </w:r>
    </w:p>
    <w:p w14:paraId="10728DD9" w14:textId="77777777" w:rsidR="003C2129" w:rsidRPr="003C2129" w:rsidRDefault="003C2129" w:rsidP="003C2129">
      <w:pPr>
        <w:ind w:left="-567" w:right="-1085"/>
        <w:jc w:val="both"/>
        <w:rPr>
          <w:rFonts w:ascii="Noto Sans" w:hAnsi="Noto Sans" w:cs="Noto Sans"/>
          <w:sz w:val="20"/>
          <w:szCs w:val="20"/>
          <w:lang w:val="es-MX"/>
        </w:rPr>
      </w:pPr>
    </w:p>
    <w:p w14:paraId="15B86CBD" w14:textId="77777777" w:rsidR="003C2129" w:rsidRPr="003C2129" w:rsidRDefault="003C2129" w:rsidP="003C2129">
      <w:pPr>
        <w:tabs>
          <w:tab w:val="left" w:pos="3181"/>
        </w:tabs>
        <w:ind w:left="-567" w:right="-1085"/>
        <w:jc w:val="both"/>
        <w:rPr>
          <w:rFonts w:ascii="Noto Sans" w:hAnsi="Noto Sans" w:cs="Noto Sans"/>
          <w:b/>
          <w:bCs/>
          <w:sz w:val="20"/>
          <w:szCs w:val="20"/>
          <w:lang w:val="es-MX"/>
        </w:rPr>
      </w:pPr>
      <w:r w:rsidRPr="003C2129">
        <w:rPr>
          <w:rFonts w:ascii="Noto Sans" w:hAnsi="Noto Sans" w:cs="Noto Sans"/>
          <w:b/>
          <w:bCs/>
          <w:sz w:val="20"/>
          <w:szCs w:val="20"/>
          <w:lang w:val="es-MX"/>
        </w:rPr>
        <w:t>k.1.) Modalidad de la contratación.</w:t>
      </w:r>
    </w:p>
    <w:p w14:paraId="5F305D42" w14:textId="77777777" w:rsidR="003C2129" w:rsidRPr="003C2129" w:rsidRDefault="003C2129" w:rsidP="003C2129">
      <w:pPr>
        <w:widowControl w:val="0"/>
        <w:ind w:left="-567" w:right="-1085"/>
        <w:jc w:val="both"/>
        <w:rPr>
          <w:rFonts w:ascii="Noto Sans" w:hAnsi="Noto Sans" w:cs="Noto Sans"/>
          <w:b/>
          <w:bCs/>
          <w:sz w:val="20"/>
          <w:szCs w:val="20"/>
          <w:lang w:val="es-MX"/>
        </w:rPr>
      </w:pPr>
    </w:p>
    <w:p w14:paraId="5D769B92"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Atendiendo a las características de la prestación del servicio, el mismo se formalizará mediante la modalidad de CONTRATO ABIERTO, por lo que se establecerá un presupuesto mínimo y máximo susceptible de ejercerse, durante la vigencia del contrato. </w:t>
      </w:r>
    </w:p>
    <w:p w14:paraId="2A3B0DC7" w14:textId="77777777" w:rsidR="003C2129" w:rsidRPr="003C2129" w:rsidRDefault="003C2129" w:rsidP="003C2129">
      <w:pPr>
        <w:ind w:left="-567" w:right="-1085"/>
        <w:jc w:val="both"/>
        <w:rPr>
          <w:rFonts w:ascii="Noto Sans" w:hAnsi="Noto Sans" w:cs="Noto Sans"/>
          <w:sz w:val="20"/>
          <w:szCs w:val="20"/>
          <w:lang w:val="es-MX"/>
        </w:rPr>
      </w:pPr>
    </w:p>
    <w:p w14:paraId="368C47B0" w14:textId="0378D02D"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lastRenderedPageBreak/>
        <w:t xml:space="preserve">Tratándose de una contratación entre entidades, en lo que respecta al presupuesto mínimo y máximo que podrá ejercerse, se establece que la cantidad o presupuesto mínimo corresponderá al cuarenta por ciento de la </w:t>
      </w:r>
      <w:r w:rsidR="00023D16">
        <w:rPr>
          <w:rFonts w:ascii="Noto Sans" w:hAnsi="Noto Sans" w:cs="Noto Sans"/>
          <w:sz w:val="20"/>
          <w:szCs w:val="20"/>
          <w:lang w:val="es-MX"/>
        </w:rPr>
        <w:br/>
      </w:r>
      <w:r w:rsidRPr="003C2129">
        <w:rPr>
          <w:rFonts w:ascii="Noto Sans" w:hAnsi="Noto Sans" w:cs="Noto Sans"/>
          <w:sz w:val="20"/>
          <w:szCs w:val="20"/>
          <w:lang w:val="es-MX"/>
        </w:rPr>
        <w:t xml:space="preserve">cantidad o presupuesto máximo; sin que sea forzoso a “EL INSTITUTO” ejercer el porcentaje  correspondiente al presupuesto mínimo establecido, si durante la vigencia del contrato que al efecto se celebre, se configura la existencia de causas justificadas que extingan la necesidad de dar continuidad al servicio, en cuyo caso, se dará inicio al procedimiento de terminación anticipada, sin responsabilidad alguna para “EL INSTITUTO”, ni para la dependencia en calidad de proveedor. </w:t>
      </w:r>
    </w:p>
    <w:p w14:paraId="3EA6EDD9" w14:textId="77777777" w:rsidR="003C2129" w:rsidRPr="003C2129" w:rsidRDefault="003C2129" w:rsidP="003C2129">
      <w:pPr>
        <w:ind w:left="-567" w:right="-1085"/>
        <w:jc w:val="both"/>
        <w:rPr>
          <w:rFonts w:ascii="Noto Sans" w:hAnsi="Noto Sans" w:cs="Noto Sans"/>
          <w:sz w:val="20"/>
          <w:szCs w:val="20"/>
          <w:lang w:val="es-MX"/>
        </w:rPr>
      </w:pPr>
    </w:p>
    <w:p w14:paraId="24FF7F8A" w14:textId="77777777" w:rsidR="003C2129" w:rsidRPr="003C2129" w:rsidRDefault="003C2129" w:rsidP="003C2129">
      <w:pPr>
        <w:ind w:left="-567" w:right="-1085"/>
        <w:jc w:val="both"/>
        <w:rPr>
          <w:rFonts w:ascii="Noto Sans" w:hAnsi="Noto Sans" w:cs="Noto Sans"/>
          <w:sz w:val="20"/>
          <w:szCs w:val="20"/>
          <w:lang w:val="es-MX"/>
        </w:rPr>
      </w:pPr>
      <w:r w:rsidRPr="003C2129">
        <w:rPr>
          <w:rFonts w:ascii="Noto Sans" w:hAnsi="Noto Sans" w:cs="Noto Sans"/>
          <w:sz w:val="20"/>
          <w:szCs w:val="20"/>
          <w:lang w:val="es-MX"/>
        </w:rPr>
        <w:t xml:space="preserve">En el caso de que “EL PROVEEDOR” sea una persona moral o física, la cantidad o presupuesto mínimo no podrá ser inferior al cuarenta por ciento de la cantidad o presupuesto máximo, de acuerdo con lo establecido en el </w:t>
      </w:r>
      <w:r w:rsidRPr="00FD4607">
        <w:rPr>
          <w:rFonts w:ascii="Noto Sans" w:hAnsi="Noto Sans" w:cs="Noto Sans"/>
          <w:sz w:val="20"/>
          <w:szCs w:val="20"/>
          <w:lang w:val="es-MX"/>
        </w:rPr>
        <w:t>artículo 68, fracción I, de la Ley de Adquisiciones</w:t>
      </w:r>
      <w:r w:rsidRPr="003C2129">
        <w:rPr>
          <w:rFonts w:ascii="Noto Sans" w:hAnsi="Noto Sans" w:cs="Noto Sans"/>
          <w:sz w:val="20"/>
          <w:szCs w:val="20"/>
          <w:lang w:val="es-MX"/>
        </w:rPr>
        <w:t xml:space="preserve"> Arrendamientos y Servicios del Sector Público.</w:t>
      </w:r>
    </w:p>
    <w:p w14:paraId="4B0D415E" w14:textId="77777777" w:rsidR="00D55B75" w:rsidRDefault="00D55B75" w:rsidP="003C2129">
      <w:pPr>
        <w:ind w:left="-567" w:right="-1085"/>
        <w:jc w:val="both"/>
        <w:rPr>
          <w:rFonts w:ascii="Noto Sans" w:hAnsi="Noto Sans" w:cs="Noto Sans"/>
          <w:b/>
          <w:bCs/>
          <w:sz w:val="20"/>
          <w:szCs w:val="20"/>
          <w:lang w:val="es-MX"/>
        </w:rPr>
      </w:pPr>
      <w:bookmarkStart w:id="6" w:name="_Hlk196324895"/>
      <w:bookmarkEnd w:id="5"/>
    </w:p>
    <w:p w14:paraId="5DF8ED70" w14:textId="4FA47B76" w:rsidR="003C2129" w:rsidRPr="003C2129" w:rsidRDefault="003C2129" w:rsidP="00023D16">
      <w:pPr>
        <w:ind w:left="3" w:right="-1085" w:hanging="570"/>
        <w:jc w:val="both"/>
        <w:rPr>
          <w:rFonts w:ascii="Noto Sans" w:hAnsi="Noto Sans" w:cs="Noto Sans"/>
          <w:b/>
          <w:bCs/>
          <w:sz w:val="20"/>
          <w:szCs w:val="20"/>
          <w:lang w:val="es-MX"/>
        </w:rPr>
      </w:pPr>
      <w:r w:rsidRPr="003C2129">
        <w:rPr>
          <w:rFonts w:ascii="Noto Sans" w:hAnsi="Noto Sans" w:cs="Noto Sans"/>
          <w:b/>
          <w:bCs/>
          <w:sz w:val="20"/>
          <w:szCs w:val="20"/>
          <w:lang w:val="es-MX"/>
        </w:rPr>
        <w:t xml:space="preserve">l) </w:t>
      </w:r>
      <w:r w:rsidR="00023D16">
        <w:rPr>
          <w:rFonts w:ascii="Noto Sans" w:hAnsi="Noto Sans" w:cs="Noto Sans"/>
          <w:b/>
          <w:bCs/>
          <w:sz w:val="20"/>
          <w:szCs w:val="20"/>
          <w:lang w:val="es-MX"/>
        </w:rPr>
        <w:tab/>
      </w:r>
      <w:r w:rsidRPr="003C2129">
        <w:rPr>
          <w:rFonts w:ascii="Noto Sans" w:hAnsi="Noto Sans" w:cs="Noto Sans"/>
          <w:b/>
          <w:bCs/>
          <w:sz w:val="20"/>
          <w:szCs w:val="20"/>
          <w:lang w:val="es-MX"/>
        </w:rPr>
        <w:t>Establecer los mecanismos de comprobación, supervisión y verificación de los bienes o de los servicios contratados y efectivamente entregados o prestados, así como del cumplimiento de las requisiciones de cada entregable.</w:t>
      </w:r>
    </w:p>
    <w:bookmarkEnd w:id="3"/>
    <w:bookmarkEnd w:id="6"/>
    <w:p w14:paraId="31B9D767" w14:textId="77777777" w:rsidR="003C2129" w:rsidRPr="00341E55" w:rsidRDefault="003C2129" w:rsidP="003C2129">
      <w:pPr>
        <w:spacing w:line="276" w:lineRule="auto"/>
        <w:jc w:val="both"/>
        <w:rPr>
          <w:rFonts w:ascii="Noto Sans" w:hAnsi="Noto Sans" w:cs="Noto Sans"/>
          <w:sz w:val="21"/>
          <w:szCs w:val="21"/>
          <w:lang w:val="es-MX"/>
        </w:rPr>
      </w:pPr>
    </w:p>
    <w:p w14:paraId="6E49E0B5" w14:textId="77777777" w:rsidR="000F5255"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La Coordinación Técnica de Difusión a través del administrador del contrato coordinará y verificará los servicios objeto del contrato.</w:t>
      </w:r>
    </w:p>
    <w:p w14:paraId="70370445" w14:textId="77777777" w:rsidR="002D72E8" w:rsidRPr="008E1C03" w:rsidRDefault="002D72E8" w:rsidP="000F5255">
      <w:pPr>
        <w:spacing w:line="276" w:lineRule="auto"/>
        <w:ind w:left="-567" w:right="-1085"/>
        <w:jc w:val="both"/>
        <w:rPr>
          <w:rFonts w:ascii="Noto Sans" w:hAnsi="Noto Sans" w:cs="Noto Sans"/>
          <w:sz w:val="20"/>
          <w:szCs w:val="20"/>
          <w:lang w:val="es-MX"/>
        </w:rPr>
      </w:pPr>
    </w:p>
    <w:p w14:paraId="2BF13785" w14:textId="77777777" w:rsidR="000F5255" w:rsidRPr="008E1C03" w:rsidRDefault="000F5255" w:rsidP="000F5255">
      <w:pPr>
        <w:spacing w:line="276" w:lineRule="auto"/>
        <w:ind w:left="-567" w:right="-1085"/>
        <w:jc w:val="both"/>
        <w:rPr>
          <w:rFonts w:ascii="Noto Sans" w:hAnsi="Noto Sans" w:cs="Noto Sans"/>
          <w:sz w:val="20"/>
          <w:szCs w:val="20"/>
          <w:lang w:val="es-MX"/>
        </w:rPr>
      </w:pPr>
      <w:proofErr w:type="gramStart"/>
      <w:r w:rsidRPr="008E1C03">
        <w:rPr>
          <w:rFonts w:ascii="Noto Sans" w:hAnsi="Noto Sans" w:cs="Noto Sans"/>
          <w:sz w:val="20"/>
          <w:szCs w:val="20"/>
          <w:lang w:val="es-MX"/>
        </w:rPr>
        <w:t>Todos los materiales a difundir</w:t>
      </w:r>
      <w:proofErr w:type="gramEnd"/>
      <w:r w:rsidRPr="008E1C03">
        <w:rPr>
          <w:rFonts w:ascii="Noto Sans" w:hAnsi="Noto Sans" w:cs="Noto Sans"/>
          <w:sz w:val="20"/>
          <w:szCs w:val="20"/>
          <w:lang w:val="es-MX"/>
        </w:rPr>
        <w:t xml:space="preserve"> serán proporcionados por el instituto, por medio de la Coordinación Técnica de Difusión a través del administrador del contrato y en caso de que el proveedor desarrolle algún material para espacios publicitarios nuevos, éstos deberán ser aprobados por la Coordinación Técnica de Difusión para su correcta difusión.</w:t>
      </w:r>
    </w:p>
    <w:p w14:paraId="6F3DEEA5"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El proveedor, a fin de acreditar el cumplimiento de sus obligaciones contractuales, se obliga a entregar los documentos y testigos derivados de la orden de transmisión para su revisión dentro de los cinco días hábiles posteriores al vencimiento de dicha orden.</w:t>
      </w:r>
    </w:p>
    <w:p w14:paraId="35F926A1"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324BBD8A"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transmisión con la temporalidad que ésta determine, a fin de verificar el avance del cumplimiento de </w:t>
      </w:r>
      <w:proofErr w:type="gramStart"/>
      <w:r w:rsidRPr="008E1C03">
        <w:rPr>
          <w:rFonts w:ascii="Noto Sans" w:hAnsi="Noto Sans" w:cs="Noto Sans"/>
          <w:sz w:val="20"/>
          <w:szCs w:val="20"/>
          <w:lang w:val="es-MX"/>
        </w:rPr>
        <w:t>la misma</w:t>
      </w:r>
      <w:proofErr w:type="gramEnd"/>
      <w:r w:rsidRPr="008E1C03">
        <w:rPr>
          <w:rFonts w:ascii="Noto Sans" w:hAnsi="Noto Sans" w:cs="Noto Sans"/>
          <w:sz w:val="20"/>
          <w:szCs w:val="20"/>
          <w:lang w:val="es-MX"/>
        </w:rPr>
        <w:t>.</w:t>
      </w:r>
    </w:p>
    <w:p w14:paraId="07D38225" w14:textId="77777777" w:rsidR="000F5255" w:rsidRDefault="000F5255" w:rsidP="000F5255">
      <w:pPr>
        <w:spacing w:line="276" w:lineRule="auto"/>
        <w:ind w:left="-567" w:right="-1085"/>
        <w:jc w:val="both"/>
        <w:rPr>
          <w:rFonts w:ascii="Noto Sans" w:hAnsi="Noto Sans" w:cs="Noto Sans"/>
          <w:sz w:val="20"/>
          <w:szCs w:val="20"/>
          <w:lang w:val="es-MX"/>
        </w:rPr>
      </w:pPr>
    </w:p>
    <w:p w14:paraId="6FF5C234" w14:textId="11E76EAC"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w:t>
      </w:r>
      <w:r w:rsidR="005608F1">
        <w:rPr>
          <w:rFonts w:ascii="Noto Sans" w:hAnsi="Noto Sans" w:cs="Noto Sans"/>
          <w:sz w:val="20"/>
          <w:szCs w:val="20"/>
          <w:lang w:val="es-MX"/>
        </w:rPr>
        <w:t>2026</w:t>
      </w:r>
      <w:r w:rsidRPr="008E1C03">
        <w:rPr>
          <w:rFonts w:ascii="Noto Sans" w:hAnsi="Noto Sans" w:cs="Noto Sans"/>
          <w:sz w:val="20"/>
          <w:szCs w:val="20"/>
          <w:lang w:val="es-MX"/>
        </w:rPr>
        <w:t>, A TRAVÉS DE MEDIOS DE COMUNICACIÓN ELECTRÓNICOS (RADIO).</w:t>
      </w:r>
    </w:p>
    <w:p w14:paraId="3A404278" w14:textId="77777777" w:rsidR="00023D16" w:rsidRDefault="00023D16">
      <w:pPr>
        <w:rPr>
          <w:rFonts w:ascii="Noto Sans" w:hAnsi="Noto Sans" w:cs="Noto Sans"/>
          <w:sz w:val="20"/>
          <w:szCs w:val="20"/>
          <w:lang w:val="es-MX"/>
        </w:rPr>
      </w:pPr>
      <w:r>
        <w:rPr>
          <w:rFonts w:ascii="Noto Sans" w:hAnsi="Noto Sans" w:cs="Noto Sans"/>
          <w:sz w:val="20"/>
          <w:szCs w:val="20"/>
          <w:lang w:val="es-MX"/>
        </w:rPr>
        <w:br w:type="page"/>
      </w:r>
    </w:p>
    <w:p w14:paraId="727EB99E" w14:textId="77777777" w:rsidR="00023D16" w:rsidRDefault="00023D16" w:rsidP="000F5255">
      <w:pPr>
        <w:spacing w:line="276" w:lineRule="auto"/>
        <w:ind w:left="-567" w:right="-1085"/>
        <w:jc w:val="both"/>
        <w:rPr>
          <w:rFonts w:ascii="Noto Sans" w:hAnsi="Noto Sans" w:cs="Noto Sans"/>
          <w:sz w:val="20"/>
          <w:szCs w:val="20"/>
          <w:lang w:val="es-MX"/>
        </w:rPr>
      </w:pPr>
    </w:p>
    <w:p w14:paraId="4228435F" w14:textId="4E42C4A4"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La difusión de los mensajes podrá ser verificada con reportes de monitoreo, en caso de que EL INSTITUTO llegase a contratar una empresa especializada para dicho efecto.</w:t>
      </w:r>
    </w:p>
    <w:p w14:paraId="1DAD5E5E"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1F0A013C" w14:textId="77777777"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El administrador del contrato, dependiente de la Coordinación Técnica de Difusión revisará y validará los testigos y bitácoras entregados por EL PROVEEDOR y en caso de que cumplan con lo solicitado, éste emitirá un oficio con la validación del material para que se inicie el trámite de pago; o en caso de detectar atraso, cumplimiento parcial o deficiente en la prestación del servicio solicitado en la orden, el administrador del contrato emitirá oficio de validación que incluya las penas convencionales y/o deducciones en las que EL PROVEEDOR haya incurrido, a fin de que éste emita la nota de crédito correspondiente.</w:t>
      </w:r>
    </w:p>
    <w:p w14:paraId="027B48F1" w14:textId="77777777" w:rsidR="00FD4607" w:rsidRDefault="00FD4607" w:rsidP="000F5255">
      <w:pPr>
        <w:spacing w:line="276" w:lineRule="auto"/>
        <w:ind w:left="-567" w:right="-1085"/>
        <w:jc w:val="both"/>
        <w:rPr>
          <w:rFonts w:ascii="Noto Sans" w:hAnsi="Noto Sans" w:cs="Noto Sans"/>
          <w:sz w:val="20"/>
          <w:szCs w:val="20"/>
          <w:lang w:val="es-MX"/>
        </w:rPr>
      </w:pPr>
    </w:p>
    <w:p w14:paraId="2D8E05CE" w14:textId="30212453" w:rsidR="000F5255" w:rsidRPr="008E1C03"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Después de que el Proveedor obtenga la validación de sus entregables por parte de la Coordinación Técnica de Difusión a través del administrador del contrato, entregará ante el Área de Cifras y Registros de la División de Recursos Materiales y Financieros de la Coordinación Administrativa las órdenes de transmisión correspondientes y las facturas que amparen el importe total de los servicios prestados y solicitados en las mismas; así como la documentación que sea requerida por dicha área.</w:t>
      </w:r>
    </w:p>
    <w:p w14:paraId="3C818960"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50800409" w14:textId="3B46CF27" w:rsidR="000F5255"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Cualquier incumplimiento a lo establecido en el contrato y sus anexos, constituye una causal de rescisión de contrato de conformidad con el </w:t>
      </w:r>
      <w:r w:rsidRPr="00FD4607">
        <w:rPr>
          <w:rFonts w:ascii="Noto Sans" w:hAnsi="Noto Sans" w:cs="Noto Sans"/>
          <w:sz w:val="20"/>
          <w:szCs w:val="20"/>
          <w:lang w:val="es-MX"/>
        </w:rPr>
        <w:t xml:space="preserve">artículo </w:t>
      </w:r>
      <w:r w:rsidR="00DE7440" w:rsidRPr="00FD4607">
        <w:rPr>
          <w:rFonts w:ascii="Noto Sans" w:hAnsi="Noto Sans" w:cs="Noto Sans"/>
          <w:sz w:val="20"/>
          <w:szCs w:val="20"/>
          <w:lang w:val="es-MX"/>
        </w:rPr>
        <w:t>77</w:t>
      </w:r>
      <w:r w:rsidRPr="00FD4607">
        <w:rPr>
          <w:rFonts w:ascii="Noto Sans" w:hAnsi="Noto Sans" w:cs="Noto Sans"/>
          <w:sz w:val="20"/>
          <w:szCs w:val="20"/>
          <w:lang w:val="es-MX"/>
        </w:rPr>
        <w:t xml:space="preserve"> de la Ley de </w:t>
      </w:r>
      <w:r w:rsidRPr="00D55B75">
        <w:rPr>
          <w:rFonts w:ascii="Noto Sans" w:hAnsi="Noto Sans" w:cs="Noto Sans"/>
          <w:sz w:val="20"/>
          <w:szCs w:val="20"/>
          <w:lang w:val="es-MX"/>
        </w:rPr>
        <w:t>Adquisiciones,</w:t>
      </w:r>
      <w:r w:rsidRPr="008E1C03">
        <w:rPr>
          <w:rFonts w:ascii="Noto Sans" w:hAnsi="Noto Sans" w:cs="Noto Sans"/>
          <w:sz w:val="20"/>
          <w:szCs w:val="20"/>
          <w:lang w:val="es-MX"/>
        </w:rPr>
        <w:t xml:space="preserve"> Arrendamientos y Servicios del sector Público y 98 segundo párrafo de su reglamento, sin necesidad de agotar el presupuesto mínimo y sin más responsabilidad para EL INSTITUTO.</w:t>
      </w:r>
    </w:p>
    <w:p w14:paraId="315F22DE" w14:textId="77777777" w:rsidR="00DE7440" w:rsidRDefault="00DE7440" w:rsidP="000F5255">
      <w:pPr>
        <w:spacing w:line="276" w:lineRule="auto"/>
        <w:ind w:left="-567" w:right="-1085"/>
        <w:jc w:val="both"/>
        <w:rPr>
          <w:rFonts w:ascii="Noto Sans" w:hAnsi="Noto Sans" w:cs="Noto Sans"/>
          <w:sz w:val="20"/>
          <w:szCs w:val="20"/>
          <w:lang w:val="es-MX"/>
        </w:rPr>
      </w:pPr>
    </w:p>
    <w:p w14:paraId="21EC4AD4" w14:textId="26D1D239" w:rsidR="00DE7440" w:rsidRPr="00D32AC0" w:rsidRDefault="00DE7440" w:rsidP="00023D16">
      <w:pPr>
        <w:ind w:left="3" w:right="-1085" w:hanging="570"/>
        <w:jc w:val="both"/>
        <w:rPr>
          <w:rFonts w:ascii="Noto Sans" w:hAnsi="Noto Sans" w:cs="Noto Sans"/>
          <w:b/>
          <w:bCs/>
          <w:sz w:val="21"/>
          <w:szCs w:val="21"/>
          <w:lang w:val="es-MX"/>
        </w:rPr>
      </w:pPr>
      <w:bookmarkStart w:id="7" w:name="_Hlk196324958"/>
      <w:r w:rsidRPr="00F71168">
        <w:rPr>
          <w:rFonts w:ascii="Noto Sans" w:hAnsi="Noto Sans" w:cs="Noto Sans"/>
          <w:b/>
          <w:bCs/>
          <w:sz w:val="21"/>
          <w:szCs w:val="21"/>
          <w:lang w:val="es-MX"/>
        </w:rPr>
        <w:t xml:space="preserve">m) </w:t>
      </w:r>
      <w:r w:rsidR="00023D16">
        <w:rPr>
          <w:rFonts w:ascii="Noto Sans" w:hAnsi="Noto Sans" w:cs="Noto Sans"/>
          <w:b/>
          <w:bCs/>
          <w:sz w:val="21"/>
          <w:szCs w:val="21"/>
          <w:lang w:val="es-MX"/>
        </w:rPr>
        <w:tab/>
      </w:r>
      <w:bookmarkStart w:id="8" w:name="_Hlk218681125"/>
      <w:r w:rsidR="0097267B" w:rsidRPr="00F71168">
        <w:rPr>
          <w:rFonts w:ascii="Noto Sans" w:hAnsi="Noto Sans" w:cs="Noto Sans"/>
          <w:b/>
          <w:bCs/>
          <w:sz w:val="21"/>
          <w:szCs w:val="21"/>
          <w:lang w:val="es-MX"/>
        </w:rPr>
        <w:t xml:space="preserve">En caso de que se solicite el otorgamiento de anticipo, deberá señalarse el porcentaje y forma de amortización </w:t>
      </w:r>
      <w:proofErr w:type="gramStart"/>
      <w:r w:rsidR="0097267B" w:rsidRPr="00F71168">
        <w:rPr>
          <w:rFonts w:ascii="Noto Sans" w:hAnsi="Noto Sans" w:cs="Noto Sans"/>
          <w:b/>
          <w:bCs/>
          <w:sz w:val="21"/>
          <w:szCs w:val="21"/>
          <w:lang w:val="es-MX"/>
        </w:rPr>
        <w:t>del mismo</w:t>
      </w:r>
      <w:proofErr w:type="gramEnd"/>
      <w:r w:rsidR="0097267B" w:rsidRPr="00F71168">
        <w:rPr>
          <w:rFonts w:ascii="Noto Sans" w:hAnsi="Noto Sans" w:cs="Noto Sans"/>
          <w:b/>
          <w:bCs/>
          <w:sz w:val="21"/>
          <w:szCs w:val="21"/>
          <w:lang w:val="es-MX"/>
        </w:rPr>
        <w:t xml:space="preserve">, el cual debe ajustarse a las disposiciones establecidas en los artículos </w:t>
      </w:r>
      <w:r w:rsidR="0097267B" w:rsidRPr="003772DA">
        <w:rPr>
          <w:rFonts w:ascii="Noto Sans" w:hAnsi="Noto Sans" w:cs="Noto Sans"/>
          <w:b/>
          <w:bCs/>
          <w:sz w:val="21"/>
          <w:szCs w:val="21"/>
          <w:lang w:val="es-MX"/>
        </w:rPr>
        <w:t xml:space="preserve">16, 66 </w:t>
      </w:r>
      <w:r w:rsidR="0097267B" w:rsidRPr="0006182F">
        <w:rPr>
          <w:rFonts w:ascii="Noto Sans" w:hAnsi="Noto Sans" w:cs="Noto Sans"/>
          <w:b/>
          <w:bCs/>
          <w:sz w:val="20"/>
          <w:szCs w:val="20"/>
          <w:lang w:val="es-MX"/>
        </w:rPr>
        <w:t>fracciones</w:t>
      </w:r>
      <w:r w:rsidR="0097267B" w:rsidRPr="003772DA">
        <w:rPr>
          <w:rFonts w:ascii="Noto Sans" w:hAnsi="Noto Sans" w:cs="Noto Sans"/>
          <w:b/>
          <w:bCs/>
          <w:sz w:val="21"/>
          <w:szCs w:val="21"/>
          <w:lang w:val="es-MX"/>
        </w:rPr>
        <w:t xml:space="preserve"> IX y X de la LAASSP</w:t>
      </w:r>
      <w:r w:rsidR="0097267B" w:rsidRPr="00F71168">
        <w:rPr>
          <w:rFonts w:ascii="Noto Sans" w:hAnsi="Noto Sans" w:cs="Noto Sans"/>
          <w:b/>
          <w:bCs/>
          <w:sz w:val="21"/>
          <w:szCs w:val="21"/>
          <w:lang w:val="es-MX"/>
        </w:rPr>
        <w:t xml:space="preserve"> y </w:t>
      </w:r>
      <w:r w:rsidR="0097267B">
        <w:rPr>
          <w:rFonts w:ascii="Noto Sans" w:hAnsi="Noto Sans" w:cs="Noto Sans"/>
          <w:b/>
          <w:bCs/>
          <w:sz w:val="21"/>
          <w:szCs w:val="21"/>
          <w:lang w:val="es-MX"/>
        </w:rPr>
        <w:t>126</w:t>
      </w:r>
      <w:r w:rsidR="0097267B" w:rsidRPr="00F71168">
        <w:rPr>
          <w:rFonts w:ascii="Noto Sans" w:hAnsi="Noto Sans" w:cs="Noto Sans"/>
          <w:b/>
          <w:bCs/>
          <w:sz w:val="21"/>
          <w:szCs w:val="21"/>
          <w:lang w:val="es-MX"/>
        </w:rPr>
        <w:t xml:space="preserve"> fracción V del RLAASSP, y el numeral 4.2.7 del MAAGAASSP. Así como la justificación para el otorgamiento del anticipo. </w:t>
      </w:r>
      <w:r w:rsidR="0097267B" w:rsidRPr="00341E55">
        <w:rPr>
          <w:rFonts w:ascii="Noto Sans" w:hAnsi="Noto Sans" w:cs="Noto Sans"/>
          <w:sz w:val="21"/>
          <w:szCs w:val="21"/>
          <w:lang w:val="es-MX"/>
        </w:rPr>
        <w:t>No aplica.</w:t>
      </w:r>
      <w:bookmarkEnd w:id="8"/>
    </w:p>
    <w:p w14:paraId="00FF5B2B" w14:textId="77777777" w:rsidR="00DE7440" w:rsidRPr="00F71168" w:rsidRDefault="00DE7440" w:rsidP="00DE7440">
      <w:pPr>
        <w:ind w:left="-426" w:right="-1085"/>
        <w:jc w:val="both"/>
        <w:rPr>
          <w:rFonts w:ascii="Noto Sans" w:hAnsi="Noto Sans" w:cs="Noto Sans"/>
          <w:b/>
          <w:bCs/>
          <w:sz w:val="21"/>
          <w:szCs w:val="21"/>
          <w:lang w:val="es-MX"/>
        </w:rPr>
      </w:pPr>
    </w:p>
    <w:p w14:paraId="5F594448" w14:textId="7456DD11" w:rsidR="00DE7440" w:rsidRPr="00F71168" w:rsidRDefault="00DE7440" w:rsidP="00023D16">
      <w:pPr>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n) </w:t>
      </w:r>
      <w:r w:rsidR="00023D16">
        <w:rPr>
          <w:rFonts w:ascii="Noto Sans" w:hAnsi="Noto Sans" w:cs="Noto Sans"/>
          <w:b/>
          <w:bCs/>
          <w:sz w:val="21"/>
          <w:szCs w:val="21"/>
          <w:lang w:val="es-MX"/>
        </w:rPr>
        <w:tab/>
      </w:r>
      <w:r w:rsidRPr="00F71168">
        <w:rPr>
          <w:rFonts w:ascii="Noto Sans" w:hAnsi="Noto Sans" w:cs="Noto Sans"/>
          <w:b/>
          <w:bCs/>
          <w:sz w:val="21"/>
          <w:szCs w:val="21"/>
          <w:lang w:val="es-MX"/>
        </w:rPr>
        <w:t xml:space="preserve">Aviso de privacidad, así como la precisión de las medidas de seguridad para el manejo de la información </w:t>
      </w:r>
      <w:r w:rsidRPr="00023D16">
        <w:rPr>
          <w:rFonts w:ascii="Noto Sans" w:hAnsi="Noto Sans" w:cs="Noto Sans"/>
          <w:b/>
          <w:bCs/>
          <w:sz w:val="20"/>
          <w:szCs w:val="20"/>
          <w:lang w:val="es-MX"/>
        </w:rPr>
        <w:t>para</w:t>
      </w:r>
      <w:r w:rsidRPr="00F71168">
        <w:rPr>
          <w:rFonts w:ascii="Noto Sans" w:hAnsi="Noto Sans" w:cs="Noto Sans"/>
          <w:b/>
          <w:bCs/>
          <w:sz w:val="21"/>
          <w:szCs w:val="21"/>
          <w:lang w:val="es-MX"/>
        </w:rPr>
        <w:t xml:space="preserve"> bienes o servicios de tecnologías de la información y comunicaciones, alineado a la política general de Seguridad de la información en materia de TIC, cuando se considere aplicable. </w:t>
      </w:r>
      <w:r w:rsidRPr="00341E55">
        <w:rPr>
          <w:rFonts w:ascii="Noto Sans" w:hAnsi="Noto Sans" w:cs="Noto Sans"/>
          <w:sz w:val="21"/>
          <w:szCs w:val="21"/>
          <w:lang w:val="es-MX"/>
        </w:rPr>
        <w:t>No aplica.</w:t>
      </w:r>
    </w:p>
    <w:p w14:paraId="7E9D58D1" w14:textId="77777777" w:rsidR="00DE7440" w:rsidRPr="00341E55" w:rsidRDefault="00DE7440" w:rsidP="00DE7440">
      <w:pPr>
        <w:ind w:left="-426" w:right="-1085"/>
        <w:jc w:val="both"/>
        <w:rPr>
          <w:rFonts w:ascii="Noto Sans" w:hAnsi="Noto Sans" w:cs="Noto Sans"/>
          <w:b/>
          <w:bCs/>
          <w:sz w:val="21"/>
          <w:szCs w:val="21"/>
          <w:lang w:val="es-MX"/>
        </w:rPr>
      </w:pPr>
    </w:p>
    <w:p w14:paraId="75654D59" w14:textId="2213CA73" w:rsidR="00DE7440" w:rsidRPr="00F71168" w:rsidRDefault="00DE7440" w:rsidP="00023D16">
      <w:pPr>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o) </w:t>
      </w:r>
      <w:r w:rsidR="00023D16">
        <w:rPr>
          <w:rFonts w:ascii="Noto Sans" w:hAnsi="Noto Sans" w:cs="Noto Sans"/>
          <w:b/>
          <w:bCs/>
          <w:sz w:val="21"/>
          <w:szCs w:val="21"/>
          <w:lang w:val="es-MX"/>
        </w:rPr>
        <w:tab/>
      </w:r>
      <w:r w:rsidRPr="00F71168">
        <w:rPr>
          <w:rFonts w:ascii="Noto Sans" w:hAnsi="Noto Sans" w:cs="Noto Sans"/>
          <w:b/>
          <w:bCs/>
          <w:sz w:val="21"/>
          <w:szCs w:val="21"/>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w:t>
      </w:r>
      <w:r w:rsidR="00023D16">
        <w:rPr>
          <w:rFonts w:ascii="Noto Sans" w:hAnsi="Noto Sans" w:cs="Noto Sans"/>
          <w:b/>
          <w:bCs/>
          <w:sz w:val="21"/>
          <w:szCs w:val="21"/>
          <w:lang w:val="es-MX"/>
        </w:rPr>
        <w:br/>
      </w:r>
      <w:r w:rsidR="00023D16">
        <w:rPr>
          <w:rFonts w:ascii="Noto Sans" w:hAnsi="Noto Sans" w:cs="Noto Sans"/>
          <w:b/>
          <w:bCs/>
          <w:sz w:val="21"/>
          <w:szCs w:val="21"/>
          <w:lang w:val="es-MX"/>
        </w:rPr>
        <w:br/>
      </w:r>
      <w:r w:rsidR="00023D16">
        <w:rPr>
          <w:rFonts w:ascii="Noto Sans" w:hAnsi="Noto Sans" w:cs="Noto Sans"/>
          <w:b/>
          <w:bCs/>
          <w:sz w:val="21"/>
          <w:szCs w:val="21"/>
          <w:lang w:val="es-MX"/>
        </w:rPr>
        <w:br/>
      </w:r>
      <w:r w:rsidR="00023D16">
        <w:rPr>
          <w:rFonts w:ascii="Noto Sans" w:hAnsi="Noto Sans" w:cs="Noto Sans"/>
          <w:b/>
          <w:bCs/>
          <w:sz w:val="21"/>
          <w:szCs w:val="21"/>
          <w:lang w:val="es-MX"/>
        </w:rPr>
        <w:br/>
      </w:r>
      <w:r w:rsidR="00023D16">
        <w:rPr>
          <w:rFonts w:ascii="Noto Sans" w:hAnsi="Noto Sans" w:cs="Noto Sans"/>
          <w:b/>
          <w:bCs/>
          <w:sz w:val="21"/>
          <w:szCs w:val="21"/>
          <w:lang w:val="es-MX"/>
        </w:rPr>
        <w:lastRenderedPageBreak/>
        <w:br/>
      </w:r>
      <w:r w:rsidRPr="00F71168">
        <w:rPr>
          <w:rFonts w:ascii="Noto Sans" w:hAnsi="Noto Sans" w:cs="Noto Sans"/>
          <w:b/>
          <w:bCs/>
          <w:sz w:val="21"/>
          <w:szCs w:val="21"/>
          <w:lang w:val="es-MX"/>
        </w:rPr>
        <w:t xml:space="preserve">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341E55">
        <w:rPr>
          <w:rFonts w:ascii="Noto Sans" w:hAnsi="Noto Sans" w:cs="Noto Sans"/>
          <w:sz w:val="21"/>
          <w:szCs w:val="21"/>
          <w:lang w:val="es-MX"/>
        </w:rPr>
        <w:t>No aplica.</w:t>
      </w:r>
    </w:p>
    <w:p w14:paraId="684DA407" w14:textId="77777777" w:rsidR="00FD4607" w:rsidRPr="00F71168" w:rsidRDefault="00FD4607" w:rsidP="00DE7440">
      <w:pPr>
        <w:ind w:left="-426" w:right="-1085"/>
        <w:jc w:val="both"/>
        <w:rPr>
          <w:rFonts w:ascii="Noto Sans" w:hAnsi="Noto Sans" w:cs="Noto Sans"/>
          <w:b/>
          <w:bCs/>
          <w:sz w:val="21"/>
          <w:szCs w:val="21"/>
          <w:lang w:val="es-MX"/>
        </w:rPr>
      </w:pPr>
    </w:p>
    <w:p w14:paraId="438EA6E6" w14:textId="12075C60" w:rsidR="00DE7440" w:rsidRPr="00F71168" w:rsidRDefault="00DE7440" w:rsidP="00023D16">
      <w:pPr>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p) </w:t>
      </w:r>
      <w:r w:rsidR="00023D16">
        <w:rPr>
          <w:rFonts w:ascii="Noto Sans" w:hAnsi="Noto Sans" w:cs="Noto Sans"/>
          <w:b/>
          <w:bCs/>
          <w:sz w:val="21"/>
          <w:szCs w:val="21"/>
          <w:lang w:val="es-MX"/>
        </w:rPr>
        <w:tab/>
      </w:r>
      <w:r w:rsidRPr="00F71168">
        <w:rPr>
          <w:rFonts w:ascii="Noto Sans" w:hAnsi="Noto Sans" w:cs="Noto Sans"/>
          <w:b/>
          <w:bCs/>
          <w:sz w:val="21"/>
          <w:szCs w:val="21"/>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341E55">
        <w:rPr>
          <w:rFonts w:ascii="Noto Sans" w:hAnsi="Noto Sans" w:cs="Noto Sans"/>
          <w:sz w:val="21"/>
          <w:szCs w:val="21"/>
          <w:lang w:val="es-MX"/>
        </w:rPr>
        <w:t>No aplica.</w:t>
      </w:r>
    </w:p>
    <w:bookmarkEnd w:id="7"/>
    <w:p w14:paraId="18E73042" w14:textId="77777777" w:rsidR="00FD4607" w:rsidRPr="00023D16" w:rsidRDefault="00FD4607" w:rsidP="000F5255">
      <w:pPr>
        <w:spacing w:line="276" w:lineRule="auto"/>
        <w:ind w:left="-567" w:right="-1085"/>
        <w:jc w:val="both"/>
        <w:rPr>
          <w:rFonts w:ascii="Noto Sans" w:hAnsi="Noto Sans" w:cs="Noto Sans"/>
          <w:sz w:val="20"/>
          <w:szCs w:val="20"/>
          <w:lang w:val="es-MX"/>
        </w:rPr>
      </w:pPr>
    </w:p>
    <w:p w14:paraId="61606A8A" w14:textId="77777777" w:rsidR="000F5255" w:rsidRPr="00023D16" w:rsidRDefault="000F5255" w:rsidP="000F5255">
      <w:pPr>
        <w:spacing w:line="276" w:lineRule="auto"/>
        <w:ind w:left="-567" w:right="-1085"/>
        <w:jc w:val="both"/>
        <w:rPr>
          <w:rFonts w:ascii="Noto Sans" w:hAnsi="Noto Sans" w:cs="Noto Sans"/>
          <w:sz w:val="20"/>
          <w:szCs w:val="20"/>
          <w:lang w:val="es-MX"/>
        </w:rPr>
      </w:pPr>
      <w:r w:rsidRPr="00023D16">
        <w:rPr>
          <w:rFonts w:ascii="Noto Sans" w:hAnsi="Noto Sans" w:cs="Noto Sans"/>
          <w:sz w:val="20"/>
          <w:szCs w:val="20"/>
          <w:lang w:val="es-MX"/>
        </w:rPr>
        <w:t>Atentamente,</w:t>
      </w:r>
    </w:p>
    <w:p w14:paraId="4AE40986" w14:textId="542335A0" w:rsidR="000F5255" w:rsidRDefault="000F5255" w:rsidP="000F5255">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br/>
      </w:r>
    </w:p>
    <w:p w14:paraId="08E64B2E" w14:textId="77777777" w:rsidR="000F5255" w:rsidRPr="008E1C03" w:rsidRDefault="000F5255" w:rsidP="000F5255">
      <w:pPr>
        <w:spacing w:line="276" w:lineRule="auto"/>
        <w:ind w:left="-567" w:right="-1085"/>
        <w:jc w:val="both"/>
        <w:rPr>
          <w:rFonts w:ascii="Noto Sans" w:hAnsi="Noto Sans" w:cs="Noto Sans"/>
          <w:sz w:val="20"/>
          <w:szCs w:val="20"/>
          <w:lang w:val="es-MX"/>
        </w:rPr>
      </w:pPr>
    </w:p>
    <w:p w14:paraId="294E27E8" w14:textId="77777777" w:rsidR="000F5255" w:rsidRPr="008E1C03" w:rsidRDefault="000F5255" w:rsidP="000F5255">
      <w:pPr>
        <w:spacing w:line="276" w:lineRule="auto"/>
        <w:ind w:left="-567" w:right="-1085"/>
        <w:jc w:val="both"/>
        <w:rPr>
          <w:rFonts w:ascii="Noto Sans" w:hAnsi="Noto Sans" w:cs="Noto Sans"/>
          <w:b/>
          <w:bCs/>
          <w:sz w:val="20"/>
          <w:szCs w:val="20"/>
          <w:lang w:val="es-MX"/>
        </w:rPr>
      </w:pPr>
      <w:r w:rsidRPr="008E1C03">
        <w:rPr>
          <w:rFonts w:ascii="Noto Sans" w:hAnsi="Noto Sans" w:cs="Noto Sans"/>
          <w:b/>
          <w:bCs/>
          <w:sz w:val="20"/>
          <w:szCs w:val="20"/>
          <w:lang w:val="es-MX"/>
        </w:rPr>
        <w:t>Lic. Jorge Carlos Lizcano Arias </w:t>
      </w:r>
    </w:p>
    <w:p w14:paraId="6056C3AA" w14:textId="77777777" w:rsidR="00D16BCE" w:rsidRDefault="000F5255" w:rsidP="00635E77">
      <w:pPr>
        <w:spacing w:line="276" w:lineRule="auto"/>
        <w:ind w:left="-567" w:right="-1085"/>
        <w:jc w:val="both"/>
        <w:rPr>
          <w:rFonts w:ascii="Noto Sans" w:hAnsi="Noto Sans" w:cs="Noto Sans"/>
          <w:sz w:val="20"/>
          <w:szCs w:val="20"/>
          <w:lang w:val="es-MX"/>
        </w:rPr>
      </w:pPr>
      <w:r w:rsidRPr="008E1C03">
        <w:rPr>
          <w:rFonts w:ascii="Noto Sans" w:hAnsi="Noto Sans" w:cs="Noto Sans"/>
          <w:sz w:val="20"/>
          <w:szCs w:val="20"/>
          <w:lang w:val="es-MX"/>
        </w:rPr>
        <w:t xml:space="preserve">Titular de la Coordinación Técnica de Difusión </w:t>
      </w:r>
    </w:p>
    <w:p w14:paraId="05DE7F99" w14:textId="17B04514" w:rsidR="007C521B" w:rsidRPr="0050162A" w:rsidRDefault="000F5255" w:rsidP="00635E77">
      <w:pPr>
        <w:spacing w:line="276" w:lineRule="auto"/>
        <w:ind w:left="-567" w:right="-1085"/>
        <w:jc w:val="both"/>
        <w:rPr>
          <w:rFonts w:ascii="Noto Sans" w:hAnsi="Noto Sans" w:cs="Noto Sans"/>
          <w:b/>
          <w:bCs/>
          <w:sz w:val="16"/>
          <w:szCs w:val="16"/>
        </w:rPr>
      </w:pPr>
      <w:r w:rsidRPr="008E1C03">
        <w:rPr>
          <w:rFonts w:ascii="Noto Sans" w:hAnsi="Noto Sans" w:cs="Noto Sans"/>
          <w:sz w:val="20"/>
          <w:szCs w:val="20"/>
          <w:lang w:val="es-MX"/>
        </w:rPr>
        <w:t>y Área Requirente</w:t>
      </w:r>
    </w:p>
    <w:p w14:paraId="65F58DCC" w14:textId="77777777" w:rsidR="007C521B" w:rsidRDefault="007C521B" w:rsidP="00FA0465">
      <w:pPr>
        <w:tabs>
          <w:tab w:val="left" w:pos="3960"/>
        </w:tabs>
        <w:rPr>
          <w:rFonts w:ascii="Noto Sans" w:hAnsi="Noto Sans" w:cs="Noto Sans"/>
          <w:sz w:val="20"/>
          <w:szCs w:val="20"/>
        </w:rPr>
      </w:pPr>
    </w:p>
    <w:p w14:paraId="720394F0" w14:textId="168FDFED" w:rsidR="007C521B" w:rsidRPr="007C521B" w:rsidRDefault="007C521B" w:rsidP="007C521B">
      <w:pPr>
        <w:jc w:val="both"/>
        <w:rPr>
          <w:rFonts w:ascii="Montserrat" w:eastAsia="Times New Roman" w:hAnsi="Montserrat"/>
          <w:bCs/>
          <w:color w:val="000000"/>
          <w:sz w:val="18"/>
          <w:szCs w:val="18"/>
          <w:lang w:val="es-MX" w:eastAsia="es-MX"/>
        </w:rPr>
      </w:pP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p>
    <w:p w14:paraId="15CEE8F0" w14:textId="702650AA" w:rsidR="007C521B" w:rsidRPr="007C521B" w:rsidRDefault="007C521B" w:rsidP="007C521B">
      <w:pPr>
        <w:jc w:val="right"/>
        <w:rPr>
          <w:rFonts w:ascii="Noto Sans" w:eastAsia="Times New Roman" w:hAnsi="Noto Sans" w:cs="Noto Sans"/>
          <w:color w:val="000000"/>
          <w:sz w:val="18"/>
          <w:szCs w:val="18"/>
        </w:rPr>
      </w:pPr>
    </w:p>
    <w:p w14:paraId="24BE1CE5" w14:textId="77777777" w:rsidR="007C521B" w:rsidRPr="00FA0465" w:rsidRDefault="007C521B" w:rsidP="00FA0465">
      <w:pPr>
        <w:tabs>
          <w:tab w:val="left" w:pos="3960"/>
        </w:tabs>
        <w:rPr>
          <w:rFonts w:ascii="Noto Sans" w:hAnsi="Noto Sans" w:cs="Noto Sans"/>
          <w:sz w:val="20"/>
          <w:szCs w:val="20"/>
        </w:rPr>
      </w:pPr>
    </w:p>
    <w:sectPr w:rsidR="007C521B" w:rsidRPr="00FA0465" w:rsidSect="00C918A3">
      <w:headerReference w:type="default" r:id="rId10"/>
      <w:footerReference w:type="default" r:id="rId11"/>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AF850" w14:textId="77777777" w:rsidR="00714A70" w:rsidRDefault="00714A70" w:rsidP="00A73D65">
      <w:r>
        <w:separator/>
      </w:r>
    </w:p>
  </w:endnote>
  <w:endnote w:type="continuationSeparator" w:id="0">
    <w:p w14:paraId="728598BE" w14:textId="77777777" w:rsidR="00714A70" w:rsidRDefault="00714A70"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CAD37A1" w:rsidR="00A73D65" w:rsidRDefault="00D16BCE" w:rsidP="00023D16">
    <w:pPr>
      <w:pStyle w:val="Piedepgina"/>
      <w:jc w:val="right"/>
    </w:pPr>
    <w:r>
      <w:rPr>
        <w:noProof/>
      </w:rPr>
      <mc:AlternateContent>
        <mc:Choice Requires="wps">
          <w:drawing>
            <wp:anchor distT="0" distB="0" distL="114300" distR="114300" simplePos="0" relativeHeight="251662336" behindDoc="0" locked="0" layoutInCell="1" allowOverlap="1" wp14:anchorId="02913D78" wp14:editId="6566113D">
              <wp:simplePos x="0" y="0"/>
              <wp:positionH relativeFrom="page">
                <wp:posOffset>2247595</wp:posOffset>
              </wp:positionH>
              <wp:positionV relativeFrom="paragraph">
                <wp:posOffset>-244475</wp:posOffset>
              </wp:positionV>
              <wp:extent cx="5662930" cy="352425"/>
              <wp:effectExtent l="0" t="0" r="0" b="9525"/>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A3185" w14:textId="77777777" w:rsidR="00023D16" w:rsidRPr="00C84662" w:rsidRDefault="00023D16" w:rsidP="00023D16">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87A7996" w14:textId="77777777" w:rsidR="00023D16" w:rsidRPr="00C84662" w:rsidRDefault="00023D16" w:rsidP="00023D16">
                          <w:pPr>
                            <w:spacing w:after="240"/>
                            <w:rPr>
                              <w:rFonts w:ascii="Times New Roman" w:eastAsia="Times New Roman" w:hAnsi="Times New Roman"/>
                              <w:lang w:val="es-MX"/>
                            </w:rPr>
                          </w:pPr>
                        </w:p>
                        <w:p w14:paraId="2D9720CC" w14:textId="77777777" w:rsidR="00023D16" w:rsidRPr="00C84662" w:rsidRDefault="00023D16" w:rsidP="00023D16">
                          <w:pPr>
                            <w:rPr>
                              <w:rFonts w:ascii="Times New Roman" w:eastAsia="Times New Roman" w:hAnsi="Times New Roman"/>
                              <w:lang w:val="es-MX"/>
                            </w:rPr>
                          </w:pPr>
                        </w:p>
                        <w:p w14:paraId="19D1F985" w14:textId="77777777" w:rsidR="00023D16" w:rsidRDefault="00023D16" w:rsidP="00023D1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13D78" id="Rectángulo 5" o:spid="_x0000_s1027" style="position:absolute;left:0;text-align:left;margin-left:177pt;margin-top:-19.25pt;width:445.9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" filled="f" stroked="f">
              <v:textbox inset="2.53958mm,1.2694mm,2.53958mm,1.2694mm">
                <w:txbxContent>
                  <w:p w14:paraId="29EA3185" w14:textId="77777777" w:rsidR="00023D16" w:rsidRPr="00C84662" w:rsidRDefault="00023D16" w:rsidP="00023D16">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87A7996" w14:textId="77777777" w:rsidR="00023D16" w:rsidRPr="00C84662" w:rsidRDefault="00023D16" w:rsidP="00023D16">
                    <w:pPr>
                      <w:spacing w:after="240"/>
                      <w:rPr>
                        <w:rFonts w:ascii="Times New Roman" w:eastAsia="Times New Roman" w:hAnsi="Times New Roman"/>
                        <w:lang w:val="es-MX"/>
                      </w:rPr>
                    </w:pPr>
                  </w:p>
                  <w:p w14:paraId="2D9720CC" w14:textId="77777777" w:rsidR="00023D16" w:rsidRPr="00C84662" w:rsidRDefault="00023D16" w:rsidP="00023D16">
                    <w:pPr>
                      <w:rPr>
                        <w:rFonts w:ascii="Times New Roman" w:eastAsia="Times New Roman" w:hAnsi="Times New Roman"/>
                        <w:lang w:val="es-MX"/>
                      </w:rPr>
                    </w:pPr>
                  </w:p>
                  <w:p w14:paraId="19D1F985" w14:textId="77777777" w:rsidR="00023D16" w:rsidRDefault="00023D16" w:rsidP="00023D16">
                    <w:pPr>
                      <w:textDirection w:val="btLr"/>
                    </w:pPr>
                  </w:p>
                </w:txbxContent>
              </v:textbox>
              <w10:wrap anchorx="page"/>
            </v:rect>
          </w:pict>
        </mc:Fallback>
      </mc:AlternateContent>
    </w:r>
    <w:r w:rsidR="002C3CAF">
      <w:rPr>
        <w:noProof/>
      </w:rPr>
      <w:drawing>
        <wp:anchor distT="0" distB="0" distL="114300" distR="114300" simplePos="0" relativeHeight="251663360" behindDoc="0" locked="0" layoutInCell="1" allowOverlap="1" wp14:anchorId="7787F80C" wp14:editId="57332C32">
          <wp:simplePos x="0" y="0"/>
          <wp:positionH relativeFrom="column">
            <wp:posOffset>-1075690</wp:posOffset>
          </wp:positionH>
          <wp:positionV relativeFrom="paragraph">
            <wp:posOffset>-797877</wp:posOffset>
          </wp:positionV>
          <wp:extent cx="2249805" cy="1392555"/>
          <wp:effectExtent l="0" t="0" r="0" b="0"/>
          <wp:wrapNone/>
          <wp:docPr id="648628118"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sdt>
      <w:sdtPr>
        <w:id w:val="1728636285"/>
        <w:docPartObj>
          <w:docPartGallery w:val="Page Numbers (Top of Page)"/>
          <w:docPartUnique/>
        </w:docPartObj>
      </w:sdtPr>
      <w:sdtEndPr>
        <w:rPr>
          <w:rFonts w:asciiTheme="minorHAnsi" w:hAnsiTheme="minorHAnsi"/>
          <w:sz w:val="20"/>
          <w:szCs w:val="20"/>
        </w:rPr>
      </w:sdtEndPr>
      <w:sdtContent>
        <w:r w:rsidR="00023D16" w:rsidRPr="004479FE">
          <w:rPr>
            <w:rFonts w:asciiTheme="minorHAnsi" w:hAnsiTheme="minorHAnsi"/>
            <w:sz w:val="20"/>
            <w:szCs w:val="20"/>
          </w:rPr>
          <w:t xml:space="preserve">Página </w:t>
        </w:r>
        <w:r w:rsidR="00023D16" w:rsidRPr="004479FE">
          <w:rPr>
            <w:rFonts w:asciiTheme="minorHAnsi" w:hAnsiTheme="minorHAnsi"/>
            <w:b/>
            <w:bCs/>
            <w:sz w:val="20"/>
            <w:szCs w:val="20"/>
          </w:rPr>
          <w:fldChar w:fldCharType="begin"/>
        </w:r>
        <w:r w:rsidR="00023D16" w:rsidRPr="004479FE">
          <w:rPr>
            <w:rFonts w:asciiTheme="minorHAnsi" w:hAnsiTheme="minorHAnsi"/>
            <w:b/>
            <w:bCs/>
            <w:sz w:val="20"/>
            <w:szCs w:val="20"/>
          </w:rPr>
          <w:instrText>PAGE</w:instrText>
        </w:r>
        <w:r w:rsidR="00023D16" w:rsidRPr="004479FE">
          <w:rPr>
            <w:rFonts w:asciiTheme="minorHAnsi" w:hAnsiTheme="minorHAnsi"/>
            <w:b/>
            <w:bCs/>
            <w:sz w:val="20"/>
            <w:szCs w:val="20"/>
          </w:rPr>
          <w:fldChar w:fldCharType="separate"/>
        </w:r>
        <w:r w:rsidR="00023D16">
          <w:rPr>
            <w:rFonts w:asciiTheme="minorHAnsi" w:hAnsiTheme="minorHAnsi"/>
            <w:b/>
            <w:bCs/>
            <w:sz w:val="20"/>
            <w:szCs w:val="20"/>
          </w:rPr>
          <w:t>5</w:t>
        </w:r>
        <w:r w:rsidR="00023D16" w:rsidRPr="004479FE">
          <w:rPr>
            <w:rFonts w:asciiTheme="minorHAnsi" w:hAnsiTheme="minorHAnsi"/>
            <w:sz w:val="20"/>
            <w:szCs w:val="20"/>
          </w:rPr>
          <w:fldChar w:fldCharType="end"/>
        </w:r>
        <w:r w:rsidR="00023D16" w:rsidRPr="004479FE">
          <w:rPr>
            <w:rFonts w:asciiTheme="minorHAnsi" w:hAnsiTheme="minorHAnsi"/>
            <w:sz w:val="20"/>
            <w:szCs w:val="20"/>
          </w:rPr>
          <w:t xml:space="preserve"> de </w:t>
        </w:r>
        <w:r w:rsidR="00023D16" w:rsidRPr="004479FE">
          <w:rPr>
            <w:rFonts w:asciiTheme="minorHAnsi" w:hAnsiTheme="minorHAnsi"/>
            <w:b/>
            <w:bCs/>
            <w:sz w:val="20"/>
            <w:szCs w:val="20"/>
          </w:rPr>
          <w:fldChar w:fldCharType="begin"/>
        </w:r>
        <w:r w:rsidR="00023D16" w:rsidRPr="004479FE">
          <w:rPr>
            <w:rFonts w:asciiTheme="minorHAnsi" w:hAnsiTheme="minorHAnsi"/>
            <w:b/>
            <w:bCs/>
            <w:sz w:val="20"/>
            <w:szCs w:val="20"/>
          </w:rPr>
          <w:instrText>NUMPAGES</w:instrText>
        </w:r>
        <w:r w:rsidR="00023D16" w:rsidRPr="004479FE">
          <w:rPr>
            <w:rFonts w:asciiTheme="minorHAnsi" w:hAnsiTheme="minorHAnsi"/>
            <w:b/>
            <w:bCs/>
            <w:sz w:val="20"/>
            <w:szCs w:val="20"/>
          </w:rPr>
          <w:fldChar w:fldCharType="separate"/>
        </w:r>
        <w:r w:rsidR="00023D16">
          <w:rPr>
            <w:rFonts w:asciiTheme="minorHAnsi" w:hAnsiTheme="minorHAnsi"/>
            <w:b/>
            <w:bCs/>
            <w:sz w:val="20"/>
            <w:szCs w:val="20"/>
          </w:rPr>
          <w:t>10</w:t>
        </w:r>
        <w:r w:rsidR="00023D16" w:rsidRPr="004479FE">
          <w:rPr>
            <w:rFonts w:asciiTheme="minorHAnsi" w:hAnsiTheme="minorHAnsi"/>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63B7C" w14:textId="77777777" w:rsidR="00714A70" w:rsidRDefault="00714A70" w:rsidP="00A73D65">
      <w:r>
        <w:separator/>
      </w:r>
    </w:p>
  </w:footnote>
  <w:footnote w:type="continuationSeparator" w:id="0">
    <w:p w14:paraId="4A6E5E8C" w14:textId="77777777" w:rsidR="00714A70" w:rsidRDefault="00714A70"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D506252"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1F736E68">
              <wp:simplePos x="0" y="0"/>
              <wp:positionH relativeFrom="margin">
                <wp:posOffset>-432435</wp:posOffset>
              </wp:positionH>
              <wp:positionV relativeFrom="paragraph">
                <wp:posOffset>549910</wp:posOffset>
              </wp:positionV>
              <wp:extent cx="5695950" cy="428625"/>
              <wp:effectExtent l="0" t="0" r="0" b="9525"/>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428625"/>
                      </a:xfrm>
                      <a:prstGeom prst="rect">
                        <a:avLst/>
                      </a:prstGeom>
                      <a:noFill/>
                      <a:ln>
                        <a:noFill/>
                      </a:ln>
                      <a:effectLst/>
                    </wps:spPr>
                    <wps:txbx>
                      <w:txbxContent>
                        <w:p w14:paraId="7D147655" w14:textId="2BC4F9C4" w:rsidR="000F5255" w:rsidRPr="000F5255" w:rsidRDefault="000F5255" w:rsidP="000F5255">
                          <w:pPr>
                            <w:spacing w:after="40" w:line="220" w:lineRule="exact"/>
                            <w:jc w:val="both"/>
                            <w:rPr>
                              <w:rFonts w:ascii="Noto Sans" w:hAnsi="Noto Sans" w:cs="Noto Sans"/>
                              <w:b/>
                              <w:bCs/>
                              <w:sz w:val="20"/>
                              <w:szCs w:val="20"/>
                              <w:lang w:val="es-MX"/>
                            </w:rPr>
                          </w:pPr>
                          <w:bookmarkStart w:id="9" w:name="_Hlk191298420"/>
                          <w:r w:rsidRPr="000F5255">
                            <w:rPr>
                              <w:rFonts w:ascii="Noto Sans" w:hAnsi="Noto Sans" w:cs="Noto Sans"/>
                              <w:b/>
                              <w:bCs/>
                              <w:sz w:val="20"/>
                              <w:szCs w:val="20"/>
                            </w:rPr>
                            <w:t xml:space="preserve">TÉRMINOS Y CONDICIONES GENERALES PARA LA PRESTACIÓN DEL SERVICIO DE DIFUSIÓN DE LAS CAMPAÑAS INSTITUCIONALES </w:t>
                          </w:r>
                          <w:r w:rsidR="005608F1">
                            <w:rPr>
                              <w:rFonts w:ascii="Noto Sans" w:hAnsi="Noto Sans" w:cs="Noto Sans"/>
                              <w:b/>
                              <w:bCs/>
                              <w:sz w:val="20"/>
                              <w:szCs w:val="20"/>
                            </w:rPr>
                            <w:t>2026</w:t>
                          </w:r>
                          <w:r w:rsidRPr="000F5255">
                            <w:rPr>
                              <w:rFonts w:ascii="Noto Sans" w:hAnsi="Noto Sans" w:cs="Noto Sans"/>
                              <w:b/>
                              <w:bCs/>
                              <w:sz w:val="20"/>
                              <w:szCs w:val="20"/>
                            </w:rPr>
                            <w:t>, A TRAVÉS DE MEDIOS DE COMUNICACIÓN ELECTRÓNICOS (RADIO).</w:t>
                          </w:r>
                        </w:p>
                        <w:bookmarkEnd w:id="9"/>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43.3pt;width:448.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" filled="f" stroked="f">
              <v:textbox inset="0,0,0,0">
                <w:txbxContent>
                  <w:p w14:paraId="7D147655" w14:textId="2BC4F9C4" w:rsidR="000F5255" w:rsidRPr="000F5255" w:rsidRDefault="000F5255" w:rsidP="000F5255">
                    <w:pPr>
                      <w:spacing w:after="40" w:line="220" w:lineRule="exact"/>
                      <w:jc w:val="both"/>
                      <w:rPr>
                        <w:rFonts w:ascii="Noto Sans" w:hAnsi="Noto Sans" w:cs="Noto Sans"/>
                        <w:b/>
                        <w:bCs/>
                        <w:sz w:val="20"/>
                        <w:szCs w:val="20"/>
                        <w:lang w:val="es-MX"/>
                      </w:rPr>
                    </w:pPr>
                    <w:bookmarkStart w:id="10" w:name="_Hlk191298420"/>
                    <w:r w:rsidRPr="000F5255">
                      <w:rPr>
                        <w:rFonts w:ascii="Noto Sans" w:hAnsi="Noto Sans" w:cs="Noto Sans"/>
                        <w:b/>
                        <w:bCs/>
                        <w:sz w:val="20"/>
                        <w:szCs w:val="20"/>
                      </w:rPr>
                      <w:t xml:space="preserve">TÉRMINOS Y CONDICIONES GENERALES PARA LA PRESTACIÓN DEL SERVICIO DE DIFUSIÓN DE LAS CAMPAÑAS INSTITUCIONALES </w:t>
                    </w:r>
                    <w:r w:rsidR="005608F1">
                      <w:rPr>
                        <w:rFonts w:ascii="Noto Sans" w:hAnsi="Noto Sans" w:cs="Noto Sans"/>
                        <w:b/>
                        <w:bCs/>
                        <w:sz w:val="20"/>
                        <w:szCs w:val="20"/>
                      </w:rPr>
                      <w:t>2026</w:t>
                    </w:r>
                    <w:r w:rsidRPr="000F5255">
                      <w:rPr>
                        <w:rFonts w:ascii="Noto Sans" w:hAnsi="Noto Sans" w:cs="Noto Sans"/>
                        <w:b/>
                        <w:bCs/>
                        <w:sz w:val="20"/>
                        <w:szCs w:val="20"/>
                      </w:rPr>
                      <w:t>, A TRAVÉS DE MEDIOS DE COMUNICACIÓN ELECTRÓNICOS (RADIO).</w:t>
                    </w:r>
                  </w:p>
                  <w:bookmarkEnd w:id="10"/>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01FF2F68">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1"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2"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4"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8"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5"/>
    <w:lvlOverride w:ilvl="0">
      <w:lvl w:ilvl="0">
        <w:numFmt w:val="lowerLetter"/>
        <w:lvlText w:val="%1."/>
        <w:lvlJc w:val="left"/>
        <w:rPr>
          <w:b/>
          <w:bCs/>
        </w:rPr>
      </w:lvl>
    </w:lvlOverride>
  </w:num>
  <w:num w:numId="2" w16cid:durableId="456142438">
    <w:abstractNumId w:val="8"/>
  </w:num>
  <w:num w:numId="3" w16cid:durableId="2066026405">
    <w:abstractNumId w:val="10"/>
    <w:lvlOverride w:ilvl="0">
      <w:lvl w:ilvl="0">
        <w:numFmt w:val="lowerLetter"/>
        <w:lvlText w:val="%1."/>
        <w:lvlJc w:val="left"/>
        <w:rPr>
          <w:b/>
          <w:bCs/>
        </w:rPr>
      </w:lvl>
    </w:lvlOverride>
  </w:num>
  <w:num w:numId="4" w16cid:durableId="856389220">
    <w:abstractNumId w:val="6"/>
  </w:num>
  <w:num w:numId="5" w16cid:durableId="1323972994">
    <w:abstractNumId w:val="4"/>
    <w:lvlOverride w:ilvl="0">
      <w:lvl w:ilvl="0">
        <w:numFmt w:val="lowerLetter"/>
        <w:lvlText w:val="%1."/>
        <w:lvlJc w:val="left"/>
      </w:lvl>
    </w:lvlOverride>
  </w:num>
  <w:num w:numId="6" w16cid:durableId="126633721">
    <w:abstractNumId w:val="7"/>
  </w:num>
  <w:num w:numId="7" w16cid:durableId="546797262">
    <w:abstractNumId w:val="1"/>
  </w:num>
  <w:num w:numId="8" w16cid:durableId="287202440">
    <w:abstractNumId w:val="2"/>
  </w:num>
  <w:num w:numId="9" w16cid:durableId="528881669">
    <w:abstractNumId w:val="11"/>
    <w:lvlOverride w:ilvl="0">
      <w:lvl w:ilvl="0">
        <w:numFmt w:val="lowerLetter"/>
        <w:lvlText w:val="%1."/>
        <w:lvlJc w:val="left"/>
      </w:lvl>
    </w:lvlOverride>
  </w:num>
  <w:num w:numId="10" w16cid:durableId="1234854477">
    <w:abstractNumId w:val="3"/>
  </w:num>
  <w:num w:numId="11" w16cid:durableId="2082675695">
    <w:abstractNumId w:val="0"/>
  </w:num>
  <w:num w:numId="12" w16cid:durableId="15376939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23D16"/>
    <w:rsid w:val="00095970"/>
    <w:rsid w:val="000A09C1"/>
    <w:rsid w:val="000A408C"/>
    <w:rsid w:val="000B690D"/>
    <w:rsid w:val="000D799D"/>
    <w:rsid w:val="000E5D1C"/>
    <w:rsid w:val="000F360F"/>
    <w:rsid w:val="000F5255"/>
    <w:rsid w:val="0010251B"/>
    <w:rsid w:val="001123EA"/>
    <w:rsid w:val="00116AE1"/>
    <w:rsid w:val="00132439"/>
    <w:rsid w:val="00134EDE"/>
    <w:rsid w:val="00145B4D"/>
    <w:rsid w:val="00156A3E"/>
    <w:rsid w:val="00161740"/>
    <w:rsid w:val="0016179D"/>
    <w:rsid w:val="00180A38"/>
    <w:rsid w:val="00181E2D"/>
    <w:rsid w:val="00184325"/>
    <w:rsid w:val="001D0C08"/>
    <w:rsid w:val="001D62B8"/>
    <w:rsid w:val="001E12CC"/>
    <w:rsid w:val="001F0158"/>
    <w:rsid w:val="00206F46"/>
    <w:rsid w:val="00227A39"/>
    <w:rsid w:val="002318AF"/>
    <w:rsid w:val="00256B1D"/>
    <w:rsid w:val="00261E66"/>
    <w:rsid w:val="002677DC"/>
    <w:rsid w:val="0029542D"/>
    <w:rsid w:val="002A6FFE"/>
    <w:rsid w:val="002B217F"/>
    <w:rsid w:val="002C04FE"/>
    <w:rsid w:val="002C3CAF"/>
    <w:rsid w:val="002D72E8"/>
    <w:rsid w:val="002E2142"/>
    <w:rsid w:val="002E4953"/>
    <w:rsid w:val="0030476A"/>
    <w:rsid w:val="00325650"/>
    <w:rsid w:val="00330DC8"/>
    <w:rsid w:val="0034181C"/>
    <w:rsid w:val="00363222"/>
    <w:rsid w:val="00370465"/>
    <w:rsid w:val="00392DB1"/>
    <w:rsid w:val="003B3309"/>
    <w:rsid w:val="003C1621"/>
    <w:rsid w:val="003C2129"/>
    <w:rsid w:val="003D416E"/>
    <w:rsid w:val="003E1335"/>
    <w:rsid w:val="00406D03"/>
    <w:rsid w:val="00412C3E"/>
    <w:rsid w:val="00477F45"/>
    <w:rsid w:val="004A4C4E"/>
    <w:rsid w:val="004B78A9"/>
    <w:rsid w:val="004C340D"/>
    <w:rsid w:val="004D146C"/>
    <w:rsid w:val="004E0D31"/>
    <w:rsid w:val="004E61F3"/>
    <w:rsid w:val="0050162A"/>
    <w:rsid w:val="0052697D"/>
    <w:rsid w:val="00542C0F"/>
    <w:rsid w:val="005608F1"/>
    <w:rsid w:val="005A397D"/>
    <w:rsid w:val="005B0815"/>
    <w:rsid w:val="005C1A7C"/>
    <w:rsid w:val="005C7CAD"/>
    <w:rsid w:val="005F267A"/>
    <w:rsid w:val="006071FE"/>
    <w:rsid w:val="00626EE3"/>
    <w:rsid w:val="00631824"/>
    <w:rsid w:val="006322C1"/>
    <w:rsid w:val="00635E77"/>
    <w:rsid w:val="006770F8"/>
    <w:rsid w:val="006A3D09"/>
    <w:rsid w:val="006B3E8C"/>
    <w:rsid w:val="006B77FF"/>
    <w:rsid w:val="006C0425"/>
    <w:rsid w:val="006C3B4E"/>
    <w:rsid w:val="006C5FF5"/>
    <w:rsid w:val="006C69AE"/>
    <w:rsid w:val="006D644F"/>
    <w:rsid w:val="00714A70"/>
    <w:rsid w:val="00734C42"/>
    <w:rsid w:val="007421E3"/>
    <w:rsid w:val="007753E0"/>
    <w:rsid w:val="0078195E"/>
    <w:rsid w:val="007B74AD"/>
    <w:rsid w:val="007C521B"/>
    <w:rsid w:val="007D58FF"/>
    <w:rsid w:val="007D77D1"/>
    <w:rsid w:val="007E5888"/>
    <w:rsid w:val="007F1DB3"/>
    <w:rsid w:val="007F5E00"/>
    <w:rsid w:val="00831EE7"/>
    <w:rsid w:val="00834146"/>
    <w:rsid w:val="008920C6"/>
    <w:rsid w:val="008C6014"/>
    <w:rsid w:val="008F2306"/>
    <w:rsid w:val="0090412A"/>
    <w:rsid w:val="009066A7"/>
    <w:rsid w:val="009068C0"/>
    <w:rsid w:val="00907F1C"/>
    <w:rsid w:val="009113DE"/>
    <w:rsid w:val="00924BF6"/>
    <w:rsid w:val="009307EA"/>
    <w:rsid w:val="00932C27"/>
    <w:rsid w:val="009362CB"/>
    <w:rsid w:val="00937C98"/>
    <w:rsid w:val="00942415"/>
    <w:rsid w:val="00942628"/>
    <w:rsid w:val="009446DD"/>
    <w:rsid w:val="00967785"/>
    <w:rsid w:val="0097267B"/>
    <w:rsid w:val="009856EE"/>
    <w:rsid w:val="009C12D6"/>
    <w:rsid w:val="009E75CC"/>
    <w:rsid w:val="009F2BA1"/>
    <w:rsid w:val="00A07674"/>
    <w:rsid w:val="00A2518E"/>
    <w:rsid w:val="00A301D7"/>
    <w:rsid w:val="00A45DD6"/>
    <w:rsid w:val="00A65FB7"/>
    <w:rsid w:val="00A73D65"/>
    <w:rsid w:val="00A87250"/>
    <w:rsid w:val="00AA2FAD"/>
    <w:rsid w:val="00AA4AC1"/>
    <w:rsid w:val="00AC0640"/>
    <w:rsid w:val="00B0581B"/>
    <w:rsid w:val="00B17821"/>
    <w:rsid w:val="00B335BB"/>
    <w:rsid w:val="00B3608B"/>
    <w:rsid w:val="00B72D65"/>
    <w:rsid w:val="00B87C85"/>
    <w:rsid w:val="00BA6A66"/>
    <w:rsid w:val="00BB21A6"/>
    <w:rsid w:val="00BB2DFF"/>
    <w:rsid w:val="00BC169A"/>
    <w:rsid w:val="00BC43BD"/>
    <w:rsid w:val="00BE3BAF"/>
    <w:rsid w:val="00BF29F6"/>
    <w:rsid w:val="00C02E98"/>
    <w:rsid w:val="00C13382"/>
    <w:rsid w:val="00C23B9E"/>
    <w:rsid w:val="00C279A3"/>
    <w:rsid w:val="00C30849"/>
    <w:rsid w:val="00C465FE"/>
    <w:rsid w:val="00C67047"/>
    <w:rsid w:val="00C725F0"/>
    <w:rsid w:val="00C8003F"/>
    <w:rsid w:val="00C90CED"/>
    <w:rsid w:val="00C918A3"/>
    <w:rsid w:val="00C97E4C"/>
    <w:rsid w:val="00CB7D4F"/>
    <w:rsid w:val="00CC5AE9"/>
    <w:rsid w:val="00CE3E99"/>
    <w:rsid w:val="00CF41D4"/>
    <w:rsid w:val="00D1354D"/>
    <w:rsid w:val="00D16BCE"/>
    <w:rsid w:val="00D20C38"/>
    <w:rsid w:val="00D20E67"/>
    <w:rsid w:val="00D53D98"/>
    <w:rsid w:val="00D55B75"/>
    <w:rsid w:val="00D57E82"/>
    <w:rsid w:val="00D61FB3"/>
    <w:rsid w:val="00D63FEA"/>
    <w:rsid w:val="00D7195A"/>
    <w:rsid w:val="00D725F4"/>
    <w:rsid w:val="00D84E05"/>
    <w:rsid w:val="00D97FD6"/>
    <w:rsid w:val="00DA037A"/>
    <w:rsid w:val="00DA1B19"/>
    <w:rsid w:val="00DB259E"/>
    <w:rsid w:val="00DB53A4"/>
    <w:rsid w:val="00DB7D41"/>
    <w:rsid w:val="00DC389C"/>
    <w:rsid w:val="00DD5DF0"/>
    <w:rsid w:val="00DE7440"/>
    <w:rsid w:val="00E155A4"/>
    <w:rsid w:val="00E424B6"/>
    <w:rsid w:val="00E61167"/>
    <w:rsid w:val="00E71CD7"/>
    <w:rsid w:val="00E72958"/>
    <w:rsid w:val="00E81B75"/>
    <w:rsid w:val="00E9213F"/>
    <w:rsid w:val="00E93867"/>
    <w:rsid w:val="00EB407F"/>
    <w:rsid w:val="00EB5E8D"/>
    <w:rsid w:val="00EC571B"/>
    <w:rsid w:val="00EC7CF4"/>
    <w:rsid w:val="00EE053F"/>
    <w:rsid w:val="00EE05D8"/>
    <w:rsid w:val="00EE6B41"/>
    <w:rsid w:val="00F24915"/>
    <w:rsid w:val="00F26D61"/>
    <w:rsid w:val="00F401F9"/>
    <w:rsid w:val="00F47CDE"/>
    <w:rsid w:val="00F745B2"/>
    <w:rsid w:val="00F77049"/>
    <w:rsid w:val="00F8142D"/>
    <w:rsid w:val="00F945F2"/>
    <w:rsid w:val="00F9683C"/>
    <w:rsid w:val="00F971B8"/>
    <w:rsid w:val="00FA0465"/>
    <w:rsid w:val="00FA1218"/>
    <w:rsid w:val="00FA1EAE"/>
    <w:rsid w:val="00FA2747"/>
    <w:rsid w:val="00FA5247"/>
    <w:rsid w:val="00FD460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4368</Words>
  <Characters>23500</Characters>
  <Application>Microsoft Office Word</Application>
  <DocSecurity>0</DocSecurity>
  <Lines>546</Lines>
  <Paragraphs>134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2026-01-08T18:04:00Z</cp:lastPrinted>
  <dcterms:created xsi:type="dcterms:W3CDTF">2026-01-08T18:07:00Z</dcterms:created>
  <dcterms:modified xsi:type="dcterms:W3CDTF">2026-01-08T18:07:00Z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